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0C08A4" w:rsidRDefault="0030269A" w:rsidP="006152D4">
      <w:pPr>
        <w:spacing w:before="0" w:after="0"/>
      </w:pPr>
    </w:p>
    <w:tbl>
      <w:tblPr>
        <w:tblStyle w:val="Grilledutableau"/>
        <w:tblW w:w="0" w:type="auto"/>
        <w:tblLook w:val="04A0" w:firstRow="1" w:lastRow="0" w:firstColumn="1" w:lastColumn="0" w:noHBand="0" w:noVBand="1"/>
      </w:tblPr>
      <w:tblGrid>
        <w:gridCol w:w="2695"/>
        <w:gridCol w:w="7375"/>
      </w:tblGrid>
      <w:tr w:rsidR="0030269A" w:rsidRPr="000C08A4" w14:paraId="7217D512" w14:textId="77777777" w:rsidTr="004E398A">
        <w:tc>
          <w:tcPr>
            <w:tcW w:w="2695" w:type="dxa"/>
          </w:tcPr>
          <w:p w14:paraId="51ED1B04" w14:textId="046C9D42" w:rsidR="0030269A" w:rsidRPr="000C08A4" w:rsidRDefault="0030269A" w:rsidP="006152D4">
            <w:pPr>
              <w:spacing w:before="60" w:after="60"/>
              <w:rPr>
                <w:b/>
              </w:rPr>
            </w:pPr>
            <w:r w:rsidRPr="000C08A4">
              <w:rPr>
                <w:b/>
              </w:rPr>
              <w:t>Tit</w:t>
            </w:r>
            <w:r w:rsidR="00ED30D3" w:rsidRPr="000C08A4">
              <w:rPr>
                <w:b/>
              </w:rPr>
              <w:t>r</w:t>
            </w:r>
            <w:r w:rsidRPr="000C08A4">
              <w:rPr>
                <w:b/>
              </w:rPr>
              <w:t>e</w:t>
            </w:r>
          </w:p>
        </w:tc>
        <w:tc>
          <w:tcPr>
            <w:tcW w:w="7375" w:type="dxa"/>
          </w:tcPr>
          <w:p w14:paraId="10323B41" w14:textId="41323BC8" w:rsidR="0030269A" w:rsidRPr="000C08A4" w:rsidRDefault="004E70B1" w:rsidP="006152D4">
            <w:pPr>
              <w:spacing w:before="60" w:after="60"/>
            </w:pPr>
            <w:r w:rsidRPr="000C08A4">
              <w:t>Évaluation initiale – Critères d’approbation du CER</w:t>
            </w:r>
          </w:p>
        </w:tc>
      </w:tr>
      <w:tr w:rsidR="0030269A" w:rsidRPr="000C08A4" w14:paraId="19DC661E" w14:textId="77777777" w:rsidTr="004E398A">
        <w:tc>
          <w:tcPr>
            <w:tcW w:w="2695" w:type="dxa"/>
          </w:tcPr>
          <w:p w14:paraId="1756170B" w14:textId="36E79194" w:rsidR="0030269A" w:rsidRPr="000C08A4" w:rsidRDefault="72DFED3B" w:rsidP="006152D4">
            <w:pPr>
              <w:spacing w:before="60" w:after="60"/>
              <w:rPr>
                <w:b/>
                <w:bCs/>
              </w:rPr>
            </w:pPr>
            <w:r w:rsidRPr="000C08A4">
              <w:rPr>
                <w:b/>
                <w:bCs/>
              </w:rPr>
              <w:t>Code MON</w:t>
            </w:r>
          </w:p>
        </w:tc>
        <w:tc>
          <w:tcPr>
            <w:tcW w:w="7375" w:type="dxa"/>
          </w:tcPr>
          <w:p w14:paraId="5CBEAC14" w14:textId="5BD5446A" w:rsidR="0030269A" w:rsidRPr="000C08A4" w:rsidRDefault="72DFED3B" w:rsidP="006152D4">
            <w:pPr>
              <w:spacing w:before="60" w:after="60"/>
            </w:pPr>
            <w:r w:rsidRPr="000C08A4">
              <w:t>MON-CÉR</w:t>
            </w:r>
            <w:r w:rsidR="0008733A" w:rsidRPr="000C08A4">
              <w:t> </w:t>
            </w:r>
            <w:r w:rsidR="004E70B1" w:rsidRPr="000C08A4">
              <w:t>403.00</w:t>
            </w:r>
            <w:r w:rsidR="009122C1" w:rsidRPr="000C08A4">
              <w:t>2</w:t>
            </w:r>
          </w:p>
        </w:tc>
      </w:tr>
      <w:tr w:rsidR="0030269A" w:rsidRPr="000C08A4" w14:paraId="4FE41B28" w14:textId="77777777" w:rsidTr="004E398A">
        <w:tc>
          <w:tcPr>
            <w:tcW w:w="2695" w:type="dxa"/>
          </w:tcPr>
          <w:p w14:paraId="37464120" w14:textId="005EE451" w:rsidR="0030269A" w:rsidRPr="000C08A4" w:rsidRDefault="1D13C35E" w:rsidP="006152D4">
            <w:pPr>
              <w:spacing w:before="60" w:after="60"/>
              <w:rPr>
                <w:b/>
                <w:bCs/>
              </w:rPr>
            </w:pPr>
            <w:r w:rsidRPr="000C08A4">
              <w:rPr>
                <w:b/>
                <w:bCs/>
              </w:rPr>
              <w:t>Code MON N2/ACCER</w:t>
            </w:r>
          </w:p>
        </w:tc>
        <w:tc>
          <w:tcPr>
            <w:tcW w:w="7375" w:type="dxa"/>
          </w:tcPr>
          <w:p w14:paraId="1D3D3342" w14:textId="1FAE7572" w:rsidR="0030269A" w:rsidRPr="000C08A4" w:rsidRDefault="00ED30D3" w:rsidP="006152D4">
            <w:pPr>
              <w:spacing w:before="60" w:after="60"/>
            </w:pPr>
            <w:r w:rsidRPr="000C08A4">
              <w:t>MON</w:t>
            </w:r>
            <w:r w:rsidR="00474636" w:rsidRPr="000C08A4">
              <w:t xml:space="preserve"> </w:t>
            </w:r>
            <w:r w:rsidR="004E70B1" w:rsidRPr="000C08A4">
              <w:t>403.00</w:t>
            </w:r>
            <w:r w:rsidR="009122C1" w:rsidRPr="000C08A4">
              <w:t>3</w:t>
            </w:r>
          </w:p>
        </w:tc>
      </w:tr>
      <w:tr w:rsidR="0030269A" w:rsidRPr="000C08A4" w14:paraId="15EAAB06" w14:textId="77777777" w:rsidTr="004E398A">
        <w:tc>
          <w:tcPr>
            <w:tcW w:w="2695" w:type="dxa"/>
          </w:tcPr>
          <w:p w14:paraId="7CF29F80" w14:textId="23207FA0" w:rsidR="0030269A" w:rsidRPr="000C08A4" w:rsidRDefault="0030269A" w:rsidP="006152D4">
            <w:pPr>
              <w:spacing w:before="60" w:after="60"/>
              <w:rPr>
                <w:b/>
              </w:rPr>
            </w:pPr>
            <w:r w:rsidRPr="000C08A4">
              <w:rPr>
                <w:b/>
              </w:rPr>
              <w:t>E</w:t>
            </w:r>
            <w:r w:rsidR="00ED30D3" w:rsidRPr="000C08A4">
              <w:rPr>
                <w:b/>
              </w:rPr>
              <w:t>ntrée en vigueur</w:t>
            </w:r>
          </w:p>
        </w:tc>
        <w:tc>
          <w:tcPr>
            <w:tcW w:w="7375" w:type="dxa"/>
          </w:tcPr>
          <w:p w14:paraId="02DDE6C4" w14:textId="02DC4F37" w:rsidR="0030269A" w:rsidRPr="000C08A4" w:rsidRDefault="009122C1" w:rsidP="006152D4">
            <w:pPr>
              <w:spacing w:before="60" w:after="60"/>
            </w:pPr>
            <w:r w:rsidRPr="000C08A4">
              <w:rPr>
                <w:rStyle w:val="normaltextrun"/>
                <w:rFonts w:cs="Calibri"/>
                <w:bdr w:val="none" w:sz="0" w:space="0" w:color="auto" w:frame="1"/>
              </w:rPr>
              <w:t>YYYY-MM-DD</w:t>
            </w:r>
          </w:p>
        </w:tc>
      </w:tr>
    </w:tbl>
    <w:p w14:paraId="66AFB309" w14:textId="4CE297D6" w:rsidR="0030269A" w:rsidRPr="000C08A4" w:rsidRDefault="0030269A" w:rsidP="006152D4"/>
    <w:tbl>
      <w:tblPr>
        <w:tblStyle w:val="Grilledutableau"/>
        <w:tblW w:w="0" w:type="auto"/>
        <w:tblLook w:val="04A0" w:firstRow="1" w:lastRow="0" w:firstColumn="1" w:lastColumn="0" w:noHBand="0" w:noVBand="1"/>
      </w:tblPr>
      <w:tblGrid>
        <w:gridCol w:w="2689"/>
        <w:gridCol w:w="5103"/>
        <w:gridCol w:w="2206"/>
      </w:tblGrid>
      <w:tr w:rsidR="00DC1037" w:rsidRPr="000C08A4" w14:paraId="08D576DB" w14:textId="77777777" w:rsidTr="00D42AC4">
        <w:tc>
          <w:tcPr>
            <w:tcW w:w="2689" w:type="dxa"/>
            <w:shd w:val="clear" w:color="auto" w:fill="D9D9D9" w:themeFill="background1" w:themeFillShade="D9"/>
          </w:tcPr>
          <w:p w14:paraId="2BE7BB91" w14:textId="77777777" w:rsidR="00DC1037" w:rsidRPr="000C08A4" w:rsidRDefault="00DC1037" w:rsidP="00D42AC4">
            <w:pPr>
              <w:spacing w:before="60" w:after="60"/>
              <w:jc w:val="center"/>
              <w:rPr>
                <w:b/>
              </w:rPr>
            </w:pPr>
            <w:bookmarkStart w:id="0" w:name="_Hlk4418998"/>
            <w:r w:rsidRPr="000C08A4">
              <w:rPr>
                <w:b/>
              </w:rPr>
              <w:t>Statut</w:t>
            </w:r>
          </w:p>
        </w:tc>
        <w:tc>
          <w:tcPr>
            <w:tcW w:w="5103" w:type="dxa"/>
            <w:shd w:val="clear" w:color="auto" w:fill="D9D9D9" w:themeFill="background1" w:themeFillShade="D9"/>
          </w:tcPr>
          <w:p w14:paraId="741386CF" w14:textId="77777777" w:rsidR="00DC1037" w:rsidRPr="000C08A4" w:rsidRDefault="00DC1037" w:rsidP="00D42AC4">
            <w:pPr>
              <w:spacing w:before="60" w:after="60"/>
              <w:jc w:val="center"/>
              <w:rPr>
                <w:b/>
              </w:rPr>
            </w:pPr>
            <w:r w:rsidRPr="000C08A4">
              <w:rPr>
                <w:b/>
              </w:rPr>
              <w:t>Nom et titre</w:t>
            </w:r>
          </w:p>
        </w:tc>
        <w:tc>
          <w:tcPr>
            <w:tcW w:w="2206" w:type="dxa"/>
            <w:shd w:val="clear" w:color="auto" w:fill="D9D9D9" w:themeFill="background1" w:themeFillShade="D9"/>
          </w:tcPr>
          <w:p w14:paraId="2C27AAF0" w14:textId="77777777" w:rsidR="00DC1037" w:rsidRPr="000C08A4" w:rsidRDefault="00DC1037" w:rsidP="00D42AC4">
            <w:pPr>
              <w:spacing w:before="60" w:after="60"/>
              <w:jc w:val="center"/>
              <w:rPr>
                <w:b/>
              </w:rPr>
            </w:pPr>
            <w:r w:rsidRPr="000C08A4">
              <w:rPr>
                <w:b/>
              </w:rPr>
              <w:t>Date</w:t>
            </w:r>
          </w:p>
        </w:tc>
      </w:tr>
      <w:tr w:rsidR="009E498E" w:rsidRPr="000C08A4" w14:paraId="14FCE40F" w14:textId="77777777" w:rsidTr="00D42AC4">
        <w:tc>
          <w:tcPr>
            <w:tcW w:w="2689" w:type="dxa"/>
          </w:tcPr>
          <w:p w14:paraId="003D75D8" w14:textId="3355D1AA" w:rsidR="009E498E" w:rsidRPr="000C08A4" w:rsidRDefault="009E498E" w:rsidP="009E498E">
            <w:pPr>
              <w:spacing w:before="60" w:after="60"/>
              <w:rPr>
                <w:b/>
                <w:i/>
                <w:highlight w:val="yellow"/>
              </w:rPr>
            </w:pPr>
            <w:r w:rsidRPr="000C08A4">
              <w:rPr>
                <w:b/>
                <w:bCs/>
                <w:i/>
                <w:iCs/>
              </w:rPr>
              <w:t>Auteur modèle harmonisé</w:t>
            </w:r>
          </w:p>
        </w:tc>
        <w:tc>
          <w:tcPr>
            <w:tcW w:w="5103" w:type="dxa"/>
          </w:tcPr>
          <w:p w14:paraId="50DEA17B" w14:textId="3D1C2CC7" w:rsidR="009E498E" w:rsidRPr="000C08A4" w:rsidRDefault="009E498E" w:rsidP="009E498E">
            <w:pPr>
              <w:spacing w:before="60" w:after="60"/>
            </w:pPr>
            <w:r w:rsidRPr="000C08A4">
              <w:t>MON CER développés par le Réseau CATALIS</w:t>
            </w:r>
          </w:p>
        </w:tc>
        <w:tc>
          <w:tcPr>
            <w:tcW w:w="2206" w:type="dxa"/>
          </w:tcPr>
          <w:p w14:paraId="07E5C680" w14:textId="69957EF4" w:rsidR="009E498E" w:rsidRPr="000C08A4" w:rsidRDefault="009E498E" w:rsidP="009E498E">
            <w:pPr>
              <w:spacing w:before="60" w:after="60"/>
              <w:jc w:val="center"/>
            </w:pPr>
            <w:r w:rsidRPr="000C08A4">
              <w:t>2023-05-01</w:t>
            </w:r>
          </w:p>
        </w:tc>
      </w:tr>
      <w:tr w:rsidR="009E498E" w:rsidRPr="000C08A4" w14:paraId="570926B0" w14:textId="77777777" w:rsidTr="00D42AC4">
        <w:tc>
          <w:tcPr>
            <w:tcW w:w="2689" w:type="dxa"/>
          </w:tcPr>
          <w:p w14:paraId="44C5D8D5" w14:textId="1C6D7FBB" w:rsidR="009E498E" w:rsidRPr="000C08A4" w:rsidRDefault="009E498E" w:rsidP="009E498E">
            <w:pPr>
              <w:spacing w:before="60" w:after="60"/>
              <w:rPr>
                <w:b/>
                <w:i/>
                <w:highlight w:val="yellow"/>
              </w:rPr>
            </w:pPr>
            <w:r w:rsidRPr="000C08A4">
              <w:rPr>
                <w:b/>
                <w:i/>
              </w:rPr>
              <w:t>Approuvé</w:t>
            </w:r>
          </w:p>
        </w:tc>
        <w:tc>
          <w:tcPr>
            <w:tcW w:w="5103" w:type="dxa"/>
          </w:tcPr>
          <w:p w14:paraId="751C44DC" w14:textId="7189123D" w:rsidR="009E498E" w:rsidRPr="000C08A4" w:rsidRDefault="009E498E" w:rsidP="009E498E">
            <w:pPr>
              <w:spacing w:before="60" w:after="60"/>
            </w:pPr>
            <w:r w:rsidRPr="000C08A4">
              <w:rPr>
                <w:rFonts w:asciiTheme="minorHAnsi" w:hAnsiTheme="minorHAnsi" w:cstheme="minorHAnsi"/>
                <w:i/>
                <w:iCs/>
                <w:color w:val="A6A6A6" w:themeColor="background1" w:themeShade="A6"/>
              </w:rPr>
              <w:t>CER</w:t>
            </w:r>
            <w:r w:rsidRPr="000C08A4">
              <w:rPr>
                <w:i/>
                <w:color w:val="A6A6A6" w:themeColor="background1" w:themeShade="A6"/>
              </w:rPr>
              <w:t xml:space="preserve"> plénier </w:t>
            </w:r>
            <w:r w:rsidRPr="000C08A4">
              <w:rPr>
                <w:rFonts w:asciiTheme="minorHAnsi" w:hAnsiTheme="minorHAnsi" w:cstheme="minorHAnsi"/>
                <w:i/>
                <w:iCs/>
                <w:color w:val="A6A6A6" w:themeColor="background1" w:themeShade="A6"/>
              </w:rPr>
              <w:t>XXX</w:t>
            </w:r>
          </w:p>
        </w:tc>
        <w:tc>
          <w:tcPr>
            <w:tcW w:w="2206" w:type="dxa"/>
          </w:tcPr>
          <w:p w14:paraId="588A91D3" w14:textId="01136FC7" w:rsidR="009E498E" w:rsidRPr="000C08A4" w:rsidRDefault="009E498E" w:rsidP="009E498E">
            <w:pPr>
              <w:spacing w:before="60" w:after="60"/>
              <w:jc w:val="center"/>
            </w:pPr>
            <w:r w:rsidRPr="000C08A4">
              <w:t>YYYY-MM-DD</w:t>
            </w:r>
          </w:p>
        </w:tc>
      </w:tr>
      <w:tr w:rsidR="009E498E" w:rsidRPr="000C08A4" w14:paraId="05AF1279" w14:textId="77777777" w:rsidTr="00D42AC4">
        <w:tc>
          <w:tcPr>
            <w:tcW w:w="2689" w:type="dxa"/>
          </w:tcPr>
          <w:p w14:paraId="151E2261" w14:textId="49FA8179" w:rsidR="009E498E" w:rsidRPr="000C08A4" w:rsidRDefault="009E498E" w:rsidP="009E498E">
            <w:pPr>
              <w:spacing w:before="60" w:after="60"/>
              <w:rPr>
                <w:b/>
                <w:i/>
                <w:highlight w:val="yellow"/>
              </w:rPr>
            </w:pPr>
            <w:r w:rsidRPr="000C08A4">
              <w:rPr>
                <w:b/>
                <w:bCs/>
                <w:i/>
                <w:iCs/>
              </w:rPr>
              <w:t>[Approuvé] ou [Prend acte]</w:t>
            </w:r>
          </w:p>
        </w:tc>
        <w:tc>
          <w:tcPr>
            <w:tcW w:w="5103" w:type="dxa"/>
          </w:tcPr>
          <w:p w14:paraId="4019A10E" w14:textId="5718FF12" w:rsidR="009E498E" w:rsidRPr="000C08A4" w:rsidRDefault="009E498E" w:rsidP="009E498E">
            <w:pPr>
              <w:spacing w:before="60" w:after="60"/>
            </w:pPr>
            <w:r w:rsidRPr="000C08A4">
              <w:rPr>
                <w:i/>
                <w:color w:val="A6A6A6" w:themeColor="background1" w:themeShade="A6"/>
              </w:rPr>
              <w:t xml:space="preserve">CA </w:t>
            </w:r>
            <w:r w:rsidRPr="000C08A4">
              <w:rPr>
                <w:rFonts w:asciiTheme="minorHAnsi" w:hAnsiTheme="minorHAnsi" w:cstheme="minorHAnsi"/>
                <w:i/>
                <w:iCs/>
                <w:color w:val="A6A6A6" w:themeColor="background1" w:themeShade="A6"/>
              </w:rPr>
              <w:t>XXX</w:t>
            </w:r>
          </w:p>
        </w:tc>
        <w:tc>
          <w:tcPr>
            <w:tcW w:w="2206" w:type="dxa"/>
          </w:tcPr>
          <w:p w14:paraId="32446A4E" w14:textId="573B6499" w:rsidR="009E498E" w:rsidRPr="000C08A4" w:rsidRDefault="009E498E" w:rsidP="009E498E">
            <w:pPr>
              <w:spacing w:before="60" w:after="60"/>
              <w:jc w:val="center"/>
            </w:pPr>
            <w:r w:rsidRPr="000C08A4">
              <w:t>YYYY-MM-DD</w:t>
            </w:r>
          </w:p>
        </w:tc>
      </w:tr>
      <w:bookmarkEnd w:id="0"/>
    </w:tbl>
    <w:p w14:paraId="77DBC18A" w14:textId="77777777" w:rsidR="002E18ED" w:rsidRPr="000C08A4" w:rsidRDefault="002E18ED" w:rsidP="006152D4">
      <w:pPr>
        <w:rPr>
          <w:b/>
        </w:rPr>
      </w:pPr>
    </w:p>
    <w:p w14:paraId="449CB78E" w14:textId="708FD620" w:rsidR="0030269A" w:rsidRPr="000C08A4" w:rsidRDefault="0030269A" w:rsidP="006152D4">
      <w:pPr>
        <w:rPr>
          <w:b/>
        </w:rPr>
      </w:pPr>
      <w:r w:rsidRPr="000C08A4">
        <w:rPr>
          <w:b/>
        </w:rPr>
        <w:t xml:space="preserve">Table </w:t>
      </w:r>
      <w:r w:rsidR="00ED30D3" w:rsidRPr="000C08A4">
        <w:rPr>
          <w:b/>
        </w:rPr>
        <w:t>des matières</w:t>
      </w:r>
    </w:p>
    <w:p w14:paraId="57F4A1A7" w14:textId="6C6E3BCC" w:rsidR="009B1C4C" w:rsidRDefault="0030269A">
      <w:pPr>
        <w:pStyle w:val="TM1"/>
        <w:rPr>
          <w:kern w:val="2"/>
          <w:sz w:val="22"/>
          <w:szCs w:val="22"/>
          <w:lang w:eastAsia="fr-CA"/>
          <w14:ligatures w14:val="standardContextual"/>
        </w:rPr>
      </w:pPr>
      <w:r w:rsidRPr="000C08A4">
        <w:rPr>
          <w:noProof w:val="0"/>
        </w:rPr>
        <w:fldChar w:fldCharType="begin"/>
      </w:r>
      <w:r w:rsidRPr="000C08A4">
        <w:rPr>
          <w:noProof w:val="0"/>
        </w:rPr>
        <w:instrText xml:space="preserve"> TOC \o "1-2" \u </w:instrText>
      </w:r>
      <w:r w:rsidRPr="000C08A4">
        <w:rPr>
          <w:noProof w:val="0"/>
        </w:rPr>
        <w:fldChar w:fldCharType="separate"/>
      </w:r>
      <w:r w:rsidR="009B1C4C">
        <w:t>1</w:t>
      </w:r>
      <w:r w:rsidR="009B1C4C">
        <w:rPr>
          <w:kern w:val="2"/>
          <w:sz w:val="22"/>
          <w:szCs w:val="22"/>
          <w:lang w:eastAsia="fr-CA"/>
          <w14:ligatures w14:val="standardContextual"/>
        </w:rPr>
        <w:tab/>
      </w:r>
      <w:r w:rsidR="009B1C4C">
        <w:t>Objectif</w:t>
      </w:r>
      <w:r w:rsidR="009B1C4C">
        <w:tab/>
      </w:r>
      <w:r w:rsidR="009B1C4C">
        <w:fldChar w:fldCharType="begin"/>
      </w:r>
      <w:r w:rsidR="009B1C4C">
        <w:instrText xml:space="preserve"> PAGEREF _Toc151723882 \h </w:instrText>
      </w:r>
      <w:r w:rsidR="009B1C4C">
        <w:fldChar w:fldCharType="separate"/>
      </w:r>
      <w:r w:rsidR="009B1C4C">
        <w:t>1</w:t>
      </w:r>
      <w:r w:rsidR="009B1C4C">
        <w:fldChar w:fldCharType="end"/>
      </w:r>
    </w:p>
    <w:p w14:paraId="5EEA7927" w14:textId="600BBF8F" w:rsidR="009B1C4C" w:rsidRDefault="009B1C4C">
      <w:pPr>
        <w:pStyle w:val="TM1"/>
        <w:rPr>
          <w:kern w:val="2"/>
          <w:sz w:val="22"/>
          <w:szCs w:val="22"/>
          <w:lang w:eastAsia="fr-CA"/>
          <w14:ligatures w14:val="standardContextual"/>
        </w:rPr>
      </w:pPr>
      <w:r>
        <w:t>2</w:t>
      </w:r>
      <w:r>
        <w:rPr>
          <w:kern w:val="2"/>
          <w:sz w:val="22"/>
          <w:szCs w:val="22"/>
          <w:lang w:eastAsia="fr-CA"/>
          <w14:ligatures w14:val="standardContextual"/>
        </w:rPr>
        <w:tab/>
      </w:r>
      <w:r>
        <w:t>Portée</w:t>
      </w:r>
      <w:r>
        <w:tab/>
      </w:r>
      <w:r>
        <w:fldChar w:fldCharType="begin"/>
      </w:r>
      <w:r>
        <w:instrText xml:space="preserve"> PAGEREF _Toc151723883 \h </w:instrText>
      </w:r>
      <w:r>
        <w:fldChar w:fldCharType="separate"/>
      </w:r>
      <w:r>
        <w:t>2</w:t>
      </w:r>
      <w:r>
        <w:fldChar w:fldCharType="end"/>
      </w:r>
    </w:p>
    <w:p w14:paraId="6436C62D" w14:textId="0636ECAC" w:rsidR="009B1C4C" w:rsidRDefault="009B1C4C">
      <w:pPr>
        <w:pStyle w:val="TM1"/>
        <w:rPr>
          <w:kern w:val="2"/>
          <w:sz w:val="22"/>
          <w:szCs w:val="22"/>
          <w:lang w:eastAsia="fr-CA"/>
          <w14:ligatures w14:val="standardContextual"/>
        </w:rPr>
      </w:pPr>
      <w:r>
        <w:t>3</w:t>
      </w:r>
      <w:r>
        <w:rPr>
          <w:kern w:val="2"/>
          <w:sz w:val="22"/>
          <w:szCs w:val="22"/>
          <w:lang w:eastAsia="fr-CA"/>
          <w14:ligatures w14:val="standardContextual"/>
        </w:rPr>
        <w:tab/>
      </w:r>
      <w:r>
        <w:t>Responsabilités</w:t>
      </w:r>
      <w:r>
        <w:tab/>
      </w:r>
      <w:r>
        <w:fldChar w:fldCharType="begin"/>
      </w:r>
      <w:r>
        <w:instrText xml:space="preserve"> PAGEREF _Toc151723884 \h </w:instrText>
      </w:r>
      <w:r>
        <w:fldChar w:fldCharType="separate"/>
      </w:r>
      <w:r>
        <w:t>2</w:t>
      </w:r>
      <w:r>
        <w:fldChar w:fldCharType="end"/>
      </w:r>
    </w:p>
    <w:p w14:paraId="245D939A" w14:textId="0A275DED" w:rsidR="009B1C4C" w:rsidRDefault="009B1C4C">
      <w:pPr>
        <w:pStyle w:val="TM1"/>
        <w:rPr>
          <w:kern w:val="2"/>
          <w:sz w:val="22"/>
          <w:szCs w:val="22"/>
          <w:lang w:eastAsia="fr-CA"/>
          <w14:ligatures w14:val="standardContextual"/>
        </w:rPr>
      </w:pPr>
      <w:r>
        <w:t>4</w:t>
      </w:r>
      <w:r>
        <w:rPr>
          <w:kern w:val="2"/>
          <w:sz w:val="22"/>
          <w:szCs w:val="22"/>
          <w:lang w:eastAsia="fr-CA"/>
          <w14:ligatures w14:val="standardContextual"/>
        </w:rPr>
        <w:tab/>
      </w:r>
      <w:r>
        <w:t>Définitions</w:t>
      </w:r>
      <w:r>
        <w:tab/>
      </w:r>
      <w:r>
        <w:fldChar w:fldCharType="begin"/>
      </w:r>
      <w:r>
        <w:instrText xml:space="preserve"> PAGEREF _Toc151723885 \h </w:instrText>
      </w:r>
      <w:r>
        <w:fldChar w:fldCharType="separate"/>
      </w:r>
      <w:r>
        <w:t>2</w:t>
      </w:r>
      <w:r>
        <w:fldChar w:fldCharType="end"/>
      </w:r>
    </w:p>
    <w:p w14:paraId="34F439F6" w14:textId="08F502B2" w:rsidR="009B1C4C" w:rsidRDefault="009B1C4C">
      <w:pPr>
        <w:pStyle w:val="TM1"/>
        <w:rPr>
          <w:kern w:val="2"/>
          <w:sz w:val="22"/>
          <w:szCs w:val="22"/>
          <w:lang w:eastAsia="fr-CA"/>
          <w14:ligatures w14:val="standardContextual"/>
        </w:rPr>
      </w:pPr>
      <w:r>
        <w:t>5</w:t>
      </w:r>
      <w:r>
        <w:rPr>
          <w:kern w:val="2"/>
          <w:sz w:val="22"/>
          <w:szCs w:val="22"/>
          <w:lang w:eastAsia="fr-CA"/>
          <w14:ligatures w14:val="standardContextual"/>
        </w:rPr>
        <w:tab/>
      </w:r>
      <w:r>
        <w:t>Procédures</w:t>
      </w:r>
      <w:r>
        <w:tab/>
      </w:r>
      <w:r>
        <w:fldChar w:fldCharType="begin"/>
      </w:r>
      <w:r>
        <w:instrText xml:space="preserve"> PAGEREF _Toc151723886 \h </w:instrText>
      </w:r>
      <w:r>
        <w:fldChar w:fldCharType="separate"/>
      </w:r>
      <w:r>
        <w:t>2</w:t>
      </w:r>
      <w:r>
        <w:fldChar w:fldCharType="end"/>
      </w:r>
    </w:p>
    <w:p w14:paraId="186062FE" w14:textId="4FA5831E" w:rsidR="009B1C4C" w:rsidRDefault="009B1C4C">
      <w:pPr>
        <w:pStyle w:val="TM2"/>
        <w:rPr>
          <w:kern w:val="2"/>
          <w:sz w:val="22"/>
          <w:szCs w:val="22"/>
          <w:lang w:eastAsia="fr-CA"/>
          <w14:ligatures w14:val="standardContextual"/>
        </w:rPr>
      </w:pPr>
      <w:r w:rsidRPr="009423B2">
        <w:t>5.1</w:t>
      </w:r>
      <w:r>
        <w:rPr>
          <w:kern w:val="2"/>
          <w:sz w:val="22"/>
          <w:szCs w:val="22"/>
          <w:lang w:eastAsia="fr-CA"/>
          <w14:ligatures w14:val="standardContextual"/>
        </w:rPr>
        <w:tab/>
      </w:r>
      <w:r w:rsidRPr="009423B2">
        <w:t>Critères minimaux pour l’approbation d’une recherche</w:t>
      </w:r>
      <w:r>
        <w:tab/>
      </w:r>
      <w:r>
        <w:fldChar w:fldCharType="begin"/>
      </w:r>
      <w:r>
        <w:instrText xml:space="preserve"> PAGEREF _Toc151723887 \h </w:instrText>
      </w:r>
      <w:r>
        <w:fldChar w:fldCharType="separate"/>
      </w:r>
      <w:r>
        <w:t>2</w:t>
      </w:r>
      <w:r>
        <w:fldChar w:fldCharType="end"/>
      </w:r>
    </w:p>
    <w:p w14:paraId="44C26ED5" w14:textId="0B251024" w:rsidR="009B1C4C" w:rsidRDefault="009B1C4C">
      <w:pPr>
        <w:pStyle w:val="TM2"/>
        <w:rPr>
          <w:kern w:val="2"/>
          <w:sz w:val="22"/>
          <w:szCs w:val="22"/>
          <w:lang w:eastAsia="fr-CA"/>
          <w14:ligatures w14:val="standardContextual"/>
        </w:rPr>
      </w:pPr>
      <w:r w:rsidRPr="009423B2">
        <w:t>5.2</w:t>
      </w:r>
      <w:r>
        <w:rPr>
          <w:kern w:val="2"/>
          <w:sz w:val="22"/>
          <w:szCs w:val="22"/>
          <w:lang w:eastAsia="fr-CA"/>
          <w14:ligatures w14:val="standardContextual"/>
        </w:rPr>
        <w:tab/>
      </w:r>
      <w:r w:rsidRPr="009423B2">
        <w:t>Critères additionnels</w:t>
      </w:r>
      <w:r>
        <w:tab/>
      </w:r>
      <w:r>
        <w:fldChar w:fldCharType="begin"/>
      </w:r>
      <w:r>
        <w:instrText xml:space="preserve"> PAGEREF _Toc151723888 \h </w:instrText>
      </w:r>
      <w:r>
        <w:fldChar w:fldCharType="separate"/>
      </w:r>
      <w:r>
        <w:t>5</w:t>
      </w:r>
      <w:r>
        <w:fldChar w:fldCharType="end"/>
      </w:r>
    </w:p>
    <w:p w14:paraId="7222C2EF" w14:textId="3F989198" w:rsidR="009B1C4C" w:rsidRDefault="009B1C4C">
      <w:pPr>
        <w:pStyle w:val="TM2"/>
        <w:rPr>
          <w:kern w:val="2"/>
          <w:sz w:val="22"/>
          <w:szCs w:val="22"/>
          <w:lang w:eastAsia="fr-CA"/>
          <w14:ligatures w14:val="standardContextual"/>
        </w:rPr>
      </w:pPr>
      <w:r w:rsidRPr="009423B2">
        <w:t>5.3</w:t>
      </w:r>
      <w:r>
        <w:rPr>
          <w:kern w:val="2"/>
          <w:sz w:val="22"/>
          <w:szCs w:val="22"/>
          <w:lang w:eastAsia="fr-CA"/>
          <w14:ligatures w14:val="standardContextual"/>
        </w:rPr>
        <w:tab/>
      </w:r>
      <w:r w:rsidRPr="009423B2">
        <w:t>Durée de la période d’approbation</w:t>
      </w:r>
      <w:r>
        <w:tab/>
      </w:r>
      <w:r>
        <w:fldChar w:fldCharType="begin"/>
      </w:r>
      <w:r>
        <w:instrText xml:space="preserve"> PAGEREF _Toc151723889 \h </w:instrText>
      </w:r>
      <w:r>
        <w:fldChar w:fldCharType="separate"/>
      </w:r>
      <w:r>
        <w:t>5</w:t>
      </w:r>
      <w:r>
        <w:fldChar w:fldCharType="end"/>
      </w:r>
    </w:p>
    <w:p w14:paraId="3A9D37B2" w14:textId="352D30B1" w:rsidR="009B1C4C" w:rsidRDefault="009B1C4C">
      <w:pPr>
        <w:pStyle w:val="TM1"/>
        <w:rPr>
          <w:kern w:val="2"/>
          <w:sz w:val="22"/>
          <w:szCs w:val="22"/>
          <w:lang w:eastAsia="fr-CA"/>
          <w14:ligatures w14:val="standardContextual"/>
        </w:rPr>
      </w:pPr>
      <w:r>
        <w:t>6</w:t>
      </w:r>
      <w:r>
        <w:rPr>
          <w:kern w:val="2"/>
          <w:sz w:val="22"/>
          <w:szCs w:val="22"/>
          <w:lang w:eastAsia="fr-CA"/>
          <w14:ligatures w14:val="standardContextual"/>
        </w:rPr>
        <w:tab/>
      </w:r>
      <w:r>
        <w:t>Références</w:t>
      </w:r>
      <w:r>
        <w:tab/>
      </w:r>
      <w:r>
        <w:fldChar w:fldCharType="begin"/>
      </w:r>
      <w:r>
        <w:instrText xml:space="preserve"> PAGEREF _Toc151723890 \h </w:instrText>
      </w:r>
      <w:r>
        <w:fldChar w:fldCharType="separate"/>
      </w:r>
      <w:r>
        <w:t>5</w:t>
      </w:r>
      <w:r>
        <w:fldChar w:fldCharType="end"/>
      </w:r>
    </w:p>
    <w:p w14:paraId="3C6E7EA8" w14:textId="2C0D6351" w:rsidR="009B1C4C" w:rsidRDefault="009B1C4C">
      <w:pPr>
        <w:pStyle w:val="TM1"/>
        <w:rPr>
          <w:kern w:val="2"/>
          <w:sz w:val="22"/>
          <w:szCs w:val="22"/>
          <w:lang w:eastAsia="fr-CA"/>
          <w14:ligatures w14:val="standardContextual"/>
        </w:rPr>
      </w:pPr>
      <w:r>
        <w:t>7</w:t>
      </w:r>
      <w:r>
        <w:rPr>
          <w:kern w:val="2"/>
          <w:sz w:val="22"/>
          <w:szCs w:val="22"/>
          <w:lang w:eastAsia="fr-CA"/>
          <w14:ligatures w14:val="standardContextual"/>
        </w:rPr>
        <w:tab/>
      </w:r>
      <w:r>
        <w:t>Historique des Révisions</w:t>
      </w:r>
      <w:r>
        <w:tab/>
      </w:r>
      <w:r>
        <w:fldChar w:fldCharType="begin"/>
      </w:r>
      <w:r>
        <w:instrText xml:space="preserve"> PAGEREF _Toc151723891 \h </w:instrText>
      </w:r>
      <w:r>
        <w:fldChar w:fldCharType="separate"/>
      </w:r>
      <w:r>
        <w:t>5</w:t>
      </w:r>
      <w:r>
        <w:fldChar w:fldCharType="end"/>
      </w:r>
    </w:p>
    <w:p w14:paraId="75FDC872" w14:textId="320BF428" w:rsidR="009B1C4C" w:rsidRDefault="009B1C4C">
      <w:pPr>
        <w:pStyle w:val="TM1"/>
        <w:rPr>
          <w:kern w:val="2"/>
          <w:sz w:val="22"/>
          <w:szCs w:val="22"/>
          <w:lang w:eastAsia="fr-CA"/>
          <w14:ligatures w14:val="standardContextual"/>
        </w:rPr>
      </w:pPr>
      <w:r>
        <w:t>8</w:t>
      </w:r>
      <w:r>
        <w:rPr>
          <w:kern w:val="2"/>
          <w:sz w:val="22"/>
          <w:szCs w:val="22"/>
          <w:lang w:eastAsia="fr-CA"/>
          <w14:ligatures w14:val="standardContextual"/>
        </w:rPr>
        <w:tab/>
      </w:r>
      <w:r>
        <w:t>Annexes</w:t>
      </w:r>
      <w:r>
        <w:tab/>
      </w:r>
      <w:r>
        <w:fldChar w:fldCharType="begin"/>
      </w:r>
      <w:r>
        <w:instrText xml:space="preserve"> PAGEREF _Toc151723892 \h </w:instrText>
      </w:r>
      <w:r>
        <w:fldChar w:fldCharType="separate"/>
      </w:r>
      <w:r>
        <w:t>5</w:t>
      </w:r>
      <w:r>
        <w:fldChar w:fldCharType="end"/>
      </w:r>
    </w:p>
    <w:p w14:paraId="564964C4" w14:textId="23FFC051" w:rsidR="002B5BA5" w:rsidRPr="000C08A4" w:rsidRDefault="0030269A" w:rsidP="006152D4">
      <w:r w:rsidRPr="000C08A4">
        <w:rPr>
          <w:rFonts w:eastAsiaTheme="minorEastAsia" w:cstheme="minorHAnsi"/>
          <w:lang w:eastAsia="fr-FR"/>
        </w:rPr>
        <w:fldChar w:fldCharType="end"/>
      </w:r>
    </w:p>
    <w:p w14:paraId="58AB8D44" w14:textId="15E64D94" w:rsidR="00B66BD6" w:rsidRPr="000C08A4" w:rsidRDefault="00ED30D3" w:rsidP="006152D4">
      <w:pPr>
        <w:pStyle w:val="Titre1"/>
        <w:widowControl/>
      </w:pPr>
      <w:bookmarkStart w:id="1" w:name="_Toc151723882"/>
      <w:r w:rsidRPr="000C08A4">
        <w:t>Objectif</w:t>
      </w:r>
      <w:bookmarkEnd w:id="1"/>
    </w:p>
    <w:p w14:paraId="48575048" w14:textId="69489128" w:rsidR="002E18ED" w:rsidRPr="000C08A4" w:rsidRDefault="00741AB3" w:rsidP="006152D4">
      <w:r w:rsidRPr="000C08A4">
        <w:t>Ce mode opératoire normalisé (MON) décrit les exigences minimales que les propositions de recherche menées auprès de participants humains doivent satisfaire pour recevoir l’approbation du comité d’éthique de la recherche (CER), et ce, sans égard au type d’évaluation (c.-à-d. évaluation complète ou évaluation déléguée)</w:t>
      </w:r>
      <w:r w:rsidR="007D0591" w:rsidRPr="000C08A4">
        <w:t>.</w:t>
      </w:r>
    </w:p>
    <w:p w14:paraId="58AFA72E" w14:textId="0660F0E4" w:rsidR="00756C58" w:rsidRPr="000C08A4" w:rsidRDefault="00ED30D3" w:rsidP="006152D4">
      <w:pPr>
        <w:pStyle w:val="Titre1"/>
        <w:widowControl/>
      </w:pPr>
      <w:bookmarkStart w:id="2" w:name="_Toc151723883"/>
      <w:r w:rsidRPr="000C08A4">
        <w:lastRenderedPageBreak/>
        <w:t>Portée</w:t>
      </w:r>
      <w:bookmarkEnd w:id="2"/>
    </w:p>
    <w:p w14:paraId="65AD856C" w14:textId="7F715408" w:rsidR="002E18ED" w:rsidRPr="000C08A4" w:rsidRDefault="00741AB3" w:rsidP="006152D4">
      <w:r w:rsidRPr="000C08A4">
        <w:t>Ce MON concerne les CER qui évaluent des projets de recherche menés auprès de participants humains conformément aux règlements et aux lignes directrices applicables.</w:t>
      </w:r>
    </w:p>
    <w:p w14:paraId="4CE467C9" w14:textId="5B461F66" w:rsidR="00756C58" w:rsidRPr="000C08A4" w:rsidRDefault="002E18ED" w:rsidP="006152D4">
      <w:pPr>
        <w:pStyle w:val="Titre1"/>
        <w:widowControl/>
      </w:pPr>
      <w:bookmarkStart w:id="3" w:name="_Toc151723884"/>
      <w:r w:rsidRPr="000C08A4">
        <w:t>R</w:t>
      </w:r>
      <w:r w:rsidR="00756C58" w:rsidRPr="000C08A4">
        <w:t>espons</w:t>
      </w:r>
      <w:r w:rsidR="00ED30D3" w:rsidRPr="000C08A4">
        <w:t>a</w:t>
      </w:r>
      <w:r w:rsidR="00756C58" w:rsidRPr="000C08A4">
        <w:t>bilit</w:t>
      </w:r>
      <w:r w:rsidR="00ED30D3" w:rsidRPr="000C08A4">
        <w:t>é</w:t>
      </w:r>
      <w:r w:rsidR="00756C58" w:rsidRPr="000C08A4">
        <w:t>s</w:t>
      </w:r>
      <w:bookmarkEnd w:id="3"/>
    </w:p>
    <w:p w14:paraId="633BECFA" w14:textId="77777777" w:rsidR="00741AB3" w:rsidRPr="000C08A4" w:rsidRDefault="00741AB3" w:rsidP="006152D4">
      <w:r w:rsidRPr="000C08A4">
        <w:t>Tous les membres du CER et tout le personnel désigné du CER sont responsables de s’assurer que les exigences de ce MON sont satisfaites.</w:t>
      </w:r>
    </w:p>
    <w:p w14:paraId="716E64E8" w14:textId="332D57AF" w:rsidR="002E18ED" w:rsidRPr="000C08A4" w:rsidRDefault="00741AB3" w:rsidP="006152D4">
      <w:r w:rsidRPr="000C08A4">
        <w:t>Les membres du CER sont responsables de déterminer si la recherche satisfait ou non aux critères d’approbation.</w:t>
      </w:r>
    </w:p>
    <w:p w14:paraId="3321FEC9" w14:textId="34E5AB84" w:rsidR="00756C58" w:rsidRPr="000C08A4" w:rsidRDefault="002E18ED" w:rsidP="006152D4">
      <w:pPr>
        <w:pStyle w:val="Titre1"/>
        <w:widowControl/>
      </w:pPr>
      <w:bookmarkStart w:id="4" w:name="_Toc151723885"/>
      <w:r w:rsidRPr="000C08A4">
        <w:t>D</w:t>
      </w:r>
      <w:r w:rsidR="00ED30D3" w:rsidRPr="000C08A4">
        <w:t>é</w:t>
      </w:r>
      <w:r w:rsidR="00756C58" w:rsidRPr="000C08A4">
        <w:t>finitions</w:t>
      </w:r>
      <w:bookmarkEnd w:id="4"/>
    </w:p>
    <w:p w14:paraId="3A382B14" w14:textId="79A68C5C" w:rsidR="002E18ED" w:rsidRPr="000C08A4" w:rsidRDefault="00741AB3" w:rsidP="006152D4">
      <w:r w:rsidRPr="000C08A4">
        <w:t>Voir le glossaire.</w:t>
      </w:r>
    </w:p>
    <w:p w14:paraId="17D971BD" w14:textId="7775E055" w:rsidR="00756C58" w:rsidRPr="000C08A4" w:rsidRDefault="002E18ED" w:rsidP="006152D4">
      <w:pPr>
        <w:pStyle w:val="Titre1"/>
        <w:widowControl/>
      </w:pPr>
      <w:bookmarkStart w:id="5" w:name="_Toc151723886"/>
      <w:r w:rsidRPr="000C08A4">
        <w:t>P</w:t>
      </w:r>
      <w:r w:rsidR="00756C58" w:rsidRPr="000C08A4">
        <w:t>roc</w:t>
      </w:r>
      <w:r w:rsidR="00ED30D3" w:rsidRPr="000C08A4">
        <w:t>é</w:t>
      </w:r>
      <w:r w:rsidR="00756C58" w:rsidRPr="000C08A4">
        <w:t>dures</w:t>
      </w:r>
      <w:bookmarkEnd w:id="5"/>
    </w:p>
    <w:p w14:paraId="64C47A48" w14:textId="77777777" w:rsidR="00741AB3" w:rsidRPr="000C08A4" w:rsidRDefault="00741AB3" w:rsidP="006152D4">
      <w:r w:rsidRPr="000C08A4">
        <w:t>Toute recherche menée auprès de participants humains doit satisfaire à certains critères avant d’être approuvée par le CER. L’approbation initiale par le CER de la recherche est fondée sur l’évaluation d’un dossier complet. Le CER et/ou le personnel de soutien du CER peuvent consulter le chercheur en vue d’obtenir des renseignements supplémentaires, au besoin.</w:t>
      </w:r>
    </w:p>
    <w:p w14:paraId="0BED207A" w14:textId="4E65EE69" w:rsidR="002E18ED" w:rsidRPr="000C08A4" w:rsidRDefault="00741AB3" w:rsidP="006152D4">
      <w:r w:rsidRPr="000C08A4">
        <w:t>À la suite de l’évaluation initiale de la recherche, le CER rend une décision, conformément au MON prévu à cet</w:t>
      </w:r>
      <w:r w:rsidR="001D7896" w:rsidRPr="000C08A4">
        <w:t> </w:t>
      </w:r>
      <w:r w:rsidRPr="000C08A4">
        <w:t>effet.</w:t>
      </w:r>
    </w:p>
    <w:p w14:paraId="6260F30C" w14:textId="15703405" w:rsidR="00933E02" w:rsidRPr="000C08A4" w:rsidRDefault="00933E02" w:rsidP="006152D4">
      <w:pPr>
        <w:pStyle w:val="Titre2"/>
        <w:widowControl/>
        <w:rPr>
          <w:lang w:val="fr-CA"/>
        </w:rPr>
      </w:pPr>
      <w:r w:rsidRPr="000C08A4">
        <w:rPr>
          <w:lang w:val="fr-CA"/>
        </w:rPr>
        <w:tab/>
      </w:r>
      <w:bookmarkStart w:id="6" w:name="_Toc151723887"/>
      <w:r w:rsidRPr="000C08A4">
        <w:rPr>
          <w:lang w:val="fr-CA"/>
        </w:rPr>
        <w:t>Critères minimaux pour l’approbation d’une recherche</w:t>
      </w:r>
      <w:bookmarkEnd w:id="6"/>
    </w:p>
    <w:p w14:paraId="5E0643A0" w14:textId="76F8D421" w:rsidR="00933E02" w:rsidRPr="000C08A4" w:rsidRDefault="00933E02" w:rsidP="006152D4">
      <w:r w:rsidRPr="000C08A4">
        <w:t>Avant d’approuver une recherche, le CER doit prendre en considération les éléments suivants</w:t>
      </w:r>
      <w:r w:rsidR="0008733A" w:rsidRPr="000C08A4">
        <w:t> </w:t>
      </w:r>
      <w:r w:rsidRPr="000C08A4">
        <w:t>:</w:t>
      </w:r>
    </w:p>
    <w:p w14:paraId="1C8E776B" w14:textId="0039CE8A" w:rsidR="00933E02" w:rsidRPr="000C08A4" w:rsidRDefault="00933E02" w:rsidP="00781FB2">
      <w:pPr>
        <w:pStyle w:val="Titre3"/>
        <w:keepNext/>
        <w:widowControl/>
        <w:ind w:left="1138" w:hanging="1138"/>
        <w:rPr>
          <w:lang w:val="fr-CA"/>
        </w:rPr>
      </w:pPr>
      <w:bookmarkStart w:id="7" w:name="_Hlk3363690"/>
      <w:r w:rsidRPr="000C08A4">
        <w:rPr>
          <w:lang w:val="fr-CA"/>
        </w:rPr>
        <w:t>La demande a été signée par le chercheur ou son désigné</w:t>
      </w:r>
      <w:r w:rsidRPr="000C08A4">
        <w:rPr>
          <w:vertAlign w:val="superscript"/>
          <w:lang w:val="fr-CA"/>
        </w:rPr>
        <w:footnoteReference w:id="1"/>
      </w:r>
      <w:r w:rsidR="00BA53A3" w:rsidRPr="000C08A4">
        <w:rPr>
          <w:lang w:val="fr-CA"/>
        </w:rPr>
        <w:t>.</w:t>
      </w:r>
      <w:r w:rsidRPr="000C08A4">
        <w:rPr>
          <w:lang w:val="fr-CA"/>
        </w:rPr>
        <w:t xml:space="preserve"> Afin de démontrer la compétence du chercheur, le CER peut exiger qu’il soumette l’un et/ou l’autre des éléments suivants</w:t>
      </w:r>
      <w:r w:rsidRPr="000C08A4">
        <w:rPr>
          <w:vertAlign w:val="superscript"/>
          <w:lang w:val="fr-CA"/>
        </w:rPr>
        <w:footnoteReference w:id="2"/>
      </w:r>
      <w:r w:rsidRPr="000C08A4">
        <w:rPr>
          <w:lang w:val="fr-CA"/>
        </w:rPr>
        <w:t> :</w:t>
      </w:r>
    </w:p>
    <w:p w14:paraId="20880CB4" w14:textId="77777777" w:rsidR="00933E02" w:rsidRPr="000C08A4" w:rsidRDefault="00933E02" w:rsidP="006152D4">
      <w:pPr>
        <w:pStyle w:val="SOPBulletC"/>
        <w:keepNext/>
      </w:pPr>
      <w:r w:rsidRPr="000C08A4">
        <w:t>Son curriculum vitae;</w:t>
      </w:r>
    </w:p>
    <w:p w14:paraId="1E5C1E26" w14:textId="77777777" w:rsidR="00933E02" w:rsidRPr="000C08A4" w:rsidRDefault="00933E02" w:rsidP="006152D4">
      <w:pPr>
        <w:pStyle w:val="SOPBulletC"/>
        <w:keepNext/>
      </w:pPr>
      <w:r w:rsidRPr="000C08A4">
        <w:t>Lorsqu’il s’agit d’un essai clinique, sa licence de pratique;</w:t>
      </w:r>
    </w:p>
    <w:p w14:paraId="4EFD5997" w14:textId="7EC2F094" w:rsidR="00933E02" w:rsidRPr="000C08A4" w:rsidRDefault="00933E02" w:rsidP="006152D4">
      <w:pPr>
        <w:pStyle w:val="SOPBulletC"/>
      </w:pPr>
      <w:r w:rsidRPr="000C08A4">
        <w:t>La preuve des privilèges de recherche</w:t>
      </w:r>
      <w:r w:rsidR="00411656" w:rsidRPr="000C08A4">
        <w:t xml:space="preserve">. </w:t>
      </w:r>
    </w:p>
    <w:p w14:paraId="3489D186" w14:textId="768DB411" w:rsidR="00933E02" w:rsidRPr="000C08A4" w:rsidRDefault="00933E02" w:rsidP="006152D4">
      <w:pPr>
        <w:pStyle w:val="Titre3"/>
        <w:widowControl/>
        <w:rPr>
          <w:lang w:val="fr-CA"/>
        </w:rPr>
      </w:pPr>
      <w:r w:rsidRPr="000C08A4">
        <w:rPr>
          <w:lang w:val="fr-CA"/>
        </w:rPr>
        <w:lastRenderedPageBreak/>
        <w:t>Tout conflit d’intérêts (réel, potentiel ou perçu) a été déclaré et géré de manière appropriée afin d’éviter de compromettre la sécurité ou le bien-être des participants, ou encore l’intégrité des données</w:t>
      </w:r>
      <w:r w:rsidRPr="000C08A4">
        <w:rPr>
          <w:vertAlign w:val="superscript"/>
          <w:lang w:val="fr-CA"/>
        </w:rPr>
        <w:footnoteReference w:id="3"/>
      </w:r>
      <w:r w:rsidR="00BA53A3" w:rsidRPr="000C08A4">
        <w:rPr>
          <w:lang w:val="fr-CA"/>
        </w:rPr>
        <w:t>.</w:t>
      </w:r>
    </w:p>
    <w:p w14:paraId="45696BF5" w14:textId="77777777" w:rsidR="00933E02" w:rsidRPr="000C08A4" w:rsidRDefault="00933E02" w:rsidP="006152D4">
      <w:pPr>
        <w:pStyle w:val="Titre3"/>
        <w:widowControl/>
        <w:rPr>
          <w:lang w:val="fr-CA"/>
        </w:rPr>
      </w:pPr>
      <w:r w:rsidRPr="000C08A4">
        <w:rPr>
          <w:lang w:val="fr-CA"/>
        </w:rPr>
        <w:t xml:space="preserve">Lorsque pertinent, l’équilibre clinique est atteint. </w:t>
      </w:r>
    </w:p>
    <w:p w14:paraId="009D3FC8" w14:textId="3D64CE59" w:rsidR="00933E02" w:rsidRPr="000C08A4" w:rsidRDefault="00933E02" w:rsidP="006152D4">
      <w:pPr>
        <w:pStyle w:val="Titre3"/>
        <w:widowControl/>
        <w:rPr>
          <w:lang w:val="fr-CA"/>
        </w:rPr>
      </w:pPr>
      <w:r w:rsidRPr="000C08A4">
        <w:rPr>
          <w:lang w:val="fr-CA"/>
        </w:rPr>
        <w:t>Les connaissances obtenues dans le cadre de la recherche pourraient être généralisées et mener à des améliorations pour la santé ou le bien-être</w:t>
      </w:r>
      <w:r w:rsidRPr="000C08A4">
        <w:rPr>
          <w:vertAlign w:val="superscript"/>
          <w:lang w:val="fr-CA"/>
        </w:rPr>
        <w:footnoteReference w:id="4"/>
      </w:r>
      <w:r w:rsidR="00BA53A3" w:rsidRPr="000C08A4">
        <w:rPr>
          <w:lang w:val="fr-CA"/>
        </w:rPr>
        <w:t>.</w:t>
      </w:r>
    </w:p>
    <w:p w14:paraId="64335017" w14:textId="28BBFA1D" w:rsidR="00933E02" w:rsidRPr="000C08A4" w:rsidRDefault="00933E02" w:rsidP="006152D4">
      <w:pPr>
        <w:pStyle w:val="Titre3"/>
        <w:widowControl/>
        <w:rPr>
          <w:lang w:val="fr-CA"/>
        </w:rPr>
      </w:pPr>
      <w:r w:rsidRPr="000C08A4">
        <w:rPr>
          <w:lang w:val="fr-CA"/>
        </w:rPr>
        <w:t>Une méthodologie valide sur le plan scientifique permet de répondre à la question de recherche</w:t>
      </w:r>
      <w:r w:rsidRPr="000C08A4">
        <w:rPr>
          <w:vertAlign w:val="superscript"/>
          <w:lang w:val="fr-CA"/>
        </w:rPr>
        <w:footnoteReference w:id="5"/>
      </w:r>
      <w:r w:rsidR="00BA53A3" w:rsidRPr="000C08A4">
        <w:rPr>
          <w:lang w:val="fr-CA"/>
        </w:rPr>
        <w:t>.</w:t>
      </w:r>
    </w:p>
    <w:p w14:paraId="1CC527BB" w14:textId="42EEFAFC" w:rsidR="00933E02" w:rsidRPr="000C08A4" w:rsidRDefault="00933E02" w:rsidP="00781FB2">
      <w:pPr>
        <w:pStyle w:val="Titre3"/>
        <w:keepNext/>
        <w:widowControl/>
        <w:ind w:left="1138" w:hanging="1138"/>
        <w:rPr>
          <w:lang w:val="fr-CA"/>
        </w:rPr>
      </w:pPr>
      <w:r w:rsidRPr="000C08A4">
        <w:rPr>
          <w:lang w:val="fr-CA"/>
        </w:rPr>
        <w:t>Les risques pour les participants sont minimisés notamment de la manière suivante</w:t>
      </w:r>
      <w:r w:rsidR="0008733A" w:rsidRPr="000C08A4">
        <w:rPr>
          <w:lang w:val="fr-CA"/>
        </w:rPr>
        <w:t> </w:t>
      </w:r>
      <w:r w:rsidRPr="000C08A4">
        <w:rPr>
          <w:lang w:val="fr-CA"/>
        </w:rPr>
        <w:t>:</w:t>
      </w:r>
    </w:p>
    <w:p w14:paraId="4244DE32" w14:textId="77777777" w:rsidR="00933E02" w:rsidRPr="000C08A4" w:rsidRDefault="00933E02" w:rsidP="006152D4">
      <w:pPr>
        <w:pStyle w:val="SOPBulletC"/>
      </w:pPr>
      <w:r w:rsidRPr="000C08A4">
        <w:t>Les procédures utilisées reposent sur une méthodologie de recherche valide et n’exposent pas inutilement les participants à des risques.</w:t>
      </w:r>
    </w:p>
    <w:p w14:paraId="670CFD40" w14:textId="651F7F45" w:rsidR="00933E02" w:rsidRPr="000C08A4" w:rsidRDefault="00933E02" w:rsidP="006152D4">
      <w:pPr>
        <w:pStyle w:val="SOPBulletC"/>
      </w:pPr>
      <w:r w:rsidRPr="000C08A4">
        <w:t>On a recour</w:t>
      </w:r>
      <w:r w:rsidR="0008733A" w:rsidRPr="000C08A4">
        <w:t>s</w:t>
      </w:r>
      <w:r w:rsidRPr="000C08A4">
        <w:t xml:space="preserve"> aux procédures que subissent déjà les participants pour des raisons diagnostiques ou thérapeutiques, lorsque cela convient.</w:t>
      </w:r>
    </w:p>
    <w:p w14:paraId="0F8D95C1" w14:textId="471AC69B" w:rsidR="00933E02" w:rsidRPr="000C08A4" w:rsidRDefault="00933E02" w:rsidP="006152D4">
      <w:pPr>
        <w:pStyle w:val="Titre3"/>
        <w:widowControl/>
        <w:rPr>
          <w:lang w:val="fr-CA"/>
        </w:rPr>
      </w:pPr>
      <w:r w:rsidRPr="000C08A4">
        <w:rPr>
          <w:lang w:val="fr-CA"/>
        </w:rPr>
        <w:t>Les risques pour les participants sont raisonnables par rapport aux bienfaits prévus, s’il y en a, et l’importance des connaissances qui seront acquises</w:t>
      </w:r>
      <w:r w:rsidRPr="000C08A4">
        <w:rPr>
          <w:vertAlign w:val="superscript"/>
          <w:lang w:val="fr-CA"/>
        </w:rPr>
        <w:footnoteReference w:id="6"/>
      </w:r>
      <w:r w:rsidR="00BA53A3" w:rsidRPr="000C08A4">
        <w:rPr>
          <w:lang w:val="fr-CA"/>
        </w:rPr>
        <w:t>.</w:t>
      </w:r>
    </w:p>
    <w:p w14:paraId="127C8AB3" w14:textId="7FFF6D79" w:rsidR="00933E02" w:rsidRPr="000C08A4" w:rsidRDefault="00933E02" w:rsidP="006152D4">
      <w:pPr>
        <w:pStyle w:val="Titre3"/>
        <w:widowControl/>
        <w:rPr>
          <w:lang w:val="fr-CA"/>
        </w:rPr>
      </w:pPr>
      <w:r w:rsidRPr="000C08A4">
        <w:rPr>
          <w:lang w:val="fr-CA"/>
        </w:rPr>
        <w:t>Le processus de sélection est équitable, c’est-à-dire qu’il appelle une sélection inclusive des participants pouvant bénéficier des bienfaits de la recherche</w:t>
      </w:r>
      <w:r w:rsidRPr="000C08A4">
        <w:rPr>
          <w:vertAlign w:val="superscript"/>
          <w:lang w:val="fr-CA"/>
        </w:rPr>
        <w:footnoteReference w:id="7"/>
      </w:r>
      <w:r w:rsidR="00BA53A3" w:rsidRPr="000C08A4">
        <w:rPr>
          <w:lang w:val="fr-CA"/>
        </w:rPr>
        <w:t>.</w:t>
      </w:r>
      <w:r w:rsidRPr="000C08A4">
        <w:rPr>
          <w:lang w:val="fr-CA"/>
        </w:rPr>
        <w:t xml:space="preserve"> Ces derniers ne sont pas exclus en raison de caractéristiques telles que la culture, la langue, la religion, la race, le handicap, l’orientation sexuelle, l’origine ethnique, le genre ou l’âge. Si de telles exclusions ont lieu, il existe des justifications scientifiques et éthiques valides à leur soutien</w:t>
      </w:r>
      <w:r w:rsidRPr="000C08A4">
        <w:rPr>
          <w:vertAlign w:val="superscript"/>
          <w:lang w:val="fr-CA"/>
        </w:rPr>
        <w:footnoteReference w:id="8"/>
      </w:r>
      <w:r w:rsidR="00BA53A3" w:rsidRPr="000C08A4">
        <w:rPr>
          <w:lang w:val="fr-CA"/>
        </w:rPr>
        <w:t>.</w:t>
      </w:r>
      <w:r w:rsidRPr="000C08A4">
        <w:rPr>
          <w:lang w:val="fr-CA"/>
        </w:rPr>
        <w:t xml:space="preserve"> Lorsqu’il procède à cette évaluation, le CER tient compte de l’objectif et du contexte de la recherche.</w:t>
      </w:r>
    </w:p>
    <w:p w14:paraId="417A7500" w14:textId="77777777" w:rsidR="00933E02" w:rsidRPr="000C08A4" w:rsidRDefault="00933E02" w:rsidP="006152D4">
      <w:pPr>
        <w:pStyle w:val="Titre3"/>
        <w:widowControl/>
        <w:rPr>
          <w:lang w:val="fr-CA"/>
        </w:rPr>
      </w:pPr>
      <w:r w:rsidRPr="000C08A4">
        <w:rPr>
          <w:lang w:val="fr-CA"/>
        </w:rPr>
        <w:t xml:space="preserve">L’exclusion de participants qui pourraient bénéficier de la recherche est justifiée par des considérations scientifiques et éthiques valides. </w:t>
      </w:r>
    </w:p>
    <w:p w14:paraId="75A5A3FA" w14:textId="0EF5B537" w:rsidR="00933E02" w:rsidRPr="000C08A4" w:rsidRDefault="00933E02" w:rsidP="006152D4">
      <w:pPr>
        <w:pStyle w:val="Titre3"/>
        <w:widowControl/>
        <w:rPr>
          <w:lang w:val="fr-CA"/>
        </w:rPr>
      </w:pPr>
      <w:r w:rsidRPr="000C08A4">
        <w:rPr>
          <w:lang w:val="fr-CA"/>
        </w:rPr>
        <w:t xml:space="preserve">Lorsqu’une partie ou que l’ensemble des participants sont plus susceptibles d’être vulnérables à la coercition ou à une influence indue, des mesures de protection supplémentaires sont prévues dans </w:t>
      </w:r>
      <w:r w:rsidRPr="000C08A4">
        <w:rPr>
          <w:lang w:val="fr-CA"/>
        </w:rPr>
        <w:lastRenderedPageBreak/>
        <w:t>la recherche</w:t>
      </w:r>
      <w:r w:rsidR="00BA53A3" w:rsidRPr="000C08A4">
        <w:rPr>
          <w:lang w:val="fr-CA"/>
        </w:rPr>
        <w:t>.</w:t>
      </w:r>
      <w:r w:rsidRPr="000C08A4">
        <w:rPr>
          <w:lang w:val="fr-CA"/>
        </w:rPr>
        <w:t xml:space="preserve"> La vulnérabilité des personnes participant à la recherche peut dépendre de leur état, de leur rôle dans l’établissement ou des circonstances de leur participation. </w:t>
      </w:r>
    </w:p>
    <w:p w14:paraId="40B89F2F" w14:textId="5403ECC4" w:rsidR="00933E02" w:rsidRPr="000C08A4" w:rsidRDefault="00933E02" w:rsidP="006152D4">
      <w:pPr>
        <w:pStyle w:val="Titre3"/>
        <w:widowControl/>
        <w:rPr>
          <w:lang w:val="fr-CA"/>
        </w:rPr>
      </w:pPr>
      <w:r w:rsidRPr="000C08A4">
        <w:rPr>
          <w:lang w:val="fr-CA"/>
        </w:rPr>
        <w:t>La somme versée au participant en guise de compensation pour les pertes et contraintes subies et la méthode de compensation utilisée ne doivent pas entraîner de coercition ou influence indue</w:t>
      </w:r>
      <w:r w:rsidRPr="000C08A4">
        <w:rPr>
          <w:vertAlign w:val="superscript"/>
          <w:lang w:val="fr-CA"/>
        </w:rPr>
        <w:footnoteReference w:id="9"/>
      </w:r>
      <w:r w:rsidR="00BA53A3" w:rsidRPr="000C08A4">
        <w:rPr>
          <w:lang w:val="fr-CA"/>
        </w:rPr>
        <w:t>.</w:t>
      </w:r>
      <w:r w:rsidRPr="000C08A4">
        <w:rPr>
          <w:lang w:val="fr-CA"/>
        </w:rPr>
        <w:t xml:space="preserve"> Les renseignements concernant la compensation des participants, y compris la méthode de compensation, les sommes et le calendrier des compensations, sont fournis aux participants</w:t>
      </w:r>
      <w:r w:rsidRPr="000C08A4">
        <w:rPr>
          <w:vertAlign w:val="superscript"/>
          <w:lang w:val="fr-CA"/>
        </w:rPr>
        <w:footnoteReference w:id="10"/>
      </w:r>
      <w:r w:rsidRPr="000C08A4">
        <w:rPr>
          <w:lang w:val="fr-CA"/>
        </w:rPr>
        <w:t>, s’il y a lieu.</w:t>
      </w:r>
    </w:p>
    <w:p w14:paraId="242C5299" w14:textId="0335A68C" w:rsidR="00933E02" w:rsidRPr="000C08A4" w:rsidRDefault="00933E02" w:rsidP="006152D4">
      <w:pPr>
        <w:pStyle w:val="Titre3"/>
        <w:widowControl/>
        <w:rPr>
          <w:lang w:val="fr-CA"/>
        </w:rPr>
      </w:pPr>
      <w:r w:rsidRPr="000C08A4">
        <w:rPr>
          <w:lang w:val="fr-CA"/>
        </w:rPr>
        <w:t>Le formulaire d’information et de consentement et le processus de consentement sont conformes aux normes applicables et au MON relatif au consentement</w:t>
      </w:r>
      <w:r w:rsidR="00BA53A3" w:rsidRPr="000C08A4">
        <w:rPr>
          <w:lang w:val="fr-CA"/>
        </w:rPr>
        <w:t>.</w:t>
      </w:r>
    </w:p>
    <w:p w14:paraId="0EA46B78" w14:textId="3C963790" w:rsidR="00933E02" w:rsidRPr="000C08A4" w:rsidRDefault="00933E02" w:rsidP="006152D4">
      <w:pPr>
        <w:pStyle w:val="Titre3"/>
        <w:widowControl/>
        <w:rPr>
          <w:lang w:val="fr-CA"/>
        </w:rPr>
      </w:pPr>
      <w:r w:rsidRPr="000C08A4">
        <w:rPr>
          <w:lang w:val="fr-CA"/>
        </w:rPr>
        <w:t>Il est prévu que le processus de consentement sera documenté de manière appropriée, conformément aux règlements et au MON pertinents</w:t>
      </w:r>
      <w:r w:rsidRPr="000C08A4">
        <w:rPr>
          <w:vertAlign w:val="superscript"/>
          <w:lang w:val="fr-CA"/>
        </w:rPr>
        <w:footnoteReference w:id="11"/>
      </w:r>
      <w:r w:rsidR="00BA53A3" w:rsidRPr="000C08A4">
        <w:rPr>
          <w:lang w:val="fr-CA"/>
        </w:rPr>
        <w:t>.</w:t>
      </w:r>
    </w:p>
    <w:p w14:paraId="3AF85231" w14:textId="05E8542D" w:rsidR="00933E02" w:rsidRPr="000C08A4" w:rsidRDefault="00933E02" w:rsidP="006152D4">
      <w:pPr>
        <w:pStyle w:val="Titre3"/>
        <w:widowControl/>
        <w:rPr>
          <w:lang w:val="fr-CA"/>
        </w:rPr>
      </w:pPr>
      <w:r w:rsidRPr="000C08A4">
        <w:rPr>
          <w:lang w:val="fr-CA"/>
        </w:rPr>
        <w:t xml:space="preserve">Dans le formulaire de consentement, le CER requiert l’utilisation des clauses types, version française et anglaise, du ministère de la </w:t>
      </w:r>
      <w:r w:rsidR="004D5ED4" w:rsidRPr="000C08A4">
        <w:rPr>
          <w:lang w:val="fr-CA"/>
        </w:rPr>
        <w:t>s</w:t>
      </w:r>
      <w:r w:rsidRPr="000C08A4">
        <w:rPr>
          <w:lang w:val="fr-CA"/>
        </w:rPr>
        <w:t>anté et des services sociaux du Québec pour tout essai clinique. Tout ajout, suppression ou changement à ces clauses doit être justifié par des circonstances exceptionnelles.</w:t>
      </w:r>
    </w:p>
    <w:p w14:paraId="42267E86" w14:textId="131EBE3C" w:rsidR="00933E02" w:rsidRPr="000C08A4" w:rsidRDefault="00933E02" w:rsidP="006152D4">
      <w:pPr>
        <w:pStyle w:val="Titre3"/>
        <w:widowControl/>
        <w:rPr>
          <w:lang w:val="fr-CA"/>
        </w:rPr>
      </w:pPr>
      <w:r w:rsidRPr="000C08A4">
        <w:rPr>
          <w:lang w:val="fr-CA"/>
        </w:rPr>
        <w:t>On y trouve des dispositions concernant les procédures de surveillance de la sécurité qui sont adéquates en fonction de la taille, de la complexité, de la phase et du niveau de risque du projet de recherche, s’il y a lieu</w:t>
      </w:r>
      <w:r w:rsidRPr="000C08A4">
        <w:rPr>
          <w:vertAlign w:val="superscript"/>
          <w:lang w:val="fr-CA"/>
        </w:rPr>
        <w:footnoteReference w:id="12"/>
      </w:r>
      <w:r w:rsidR="00BA53A3" w:rsidRPr="000C08A4">
        <w:rPr>
          <w:lang w:val="fr-CA"/>
        </w:rPr>
        <w:t>.</w:t>
      </w:r>
      <w:r w:rsidRPr="000C08A4">
        <w:rPr>
          <w:lang w:val="fr-CA"/>
        </w:rPr>
        <w:t xml:space="preserve"> Le CER pourrait recommander le recours à un comité de surveillance des données et de l’innocuité (CSDI) en vue d’améliorer la protection des participants.</w:t>
      </w:r>
    </w:p>
    <w:p w14:paraId="3653E7DE" w14:textId="2057793C" w:rsidR="00933E02" w:rsidRPr="000C08A4" w:rsidRDefault="00933E02" w:rsidP="006152D4">
      <w:pPr>
        <w:pStyle w:val="Titre3"/>
        <w:widowControl/>
        <w:rPr>
          <w:lang w:val="fr-CA"/>
        </w:rPr>
      </w:pPr>
      <w:r w:rsidRPr="000C08A4">
        <w:rPr>
          <w:lang w:val="fr-CA"/>
        </w:rPr>
        <w:t>Des dispositions adéquates pour protéger la vie privée des participants et préserver la confidentialité des données sont mises en place</w:t>
      </w:r>
      <w:r w:rsidRPr="000C08A4">
        <w:rPr>
          <w:vertAlign w:val="superscript"/>
          <w:lang w:val="fr-CA"/>
        </w:rPr>
        <w:footnoteReference w:id="13"/>
      </w:r>
      <w:r w:rsidR="00BA53A3" w:rsidRPr="000C08A4">
        <w:rPr>
          <w:lang w:val="fr-CA"/>
        </w:rPr>
        <w:t>.</w:t>
      </w:r>
    </w:p>
    <w:p w14:paraId="46F6441D" w14:textId="6D74D83E" w:rsidR="00933E02" w:rsidRPr="000C08A4" w:rsidRDefault="00933E02" w:rsidP="006152D4">
      <w:pPr>
        <w:pStyle w:val="Titre3"/>
        <w:widowControl/>
        <w:rPr>
          <w:lang w:val="fr-CA"/>
        </w:rPr>
      </w:pPr>
      <w:r w:rsidRPr="000C08A4">
        <w:rPr>
          <w:lang w:val="fr-CA"/>
        </w:rPr>
        <w:t>Des mesures sont mises en place visant à assurer l’accès continu au produit expérimental ou le remplacement adéquat de celui-ci après la fin de la recherche, s’il y a lieu</w:t>
      </w:r>
      <w:r w:rsidRPr="000C08A4">
        <w:rPr>
          <w:vertAlign w:val="superscript"/>
          <w:lang w:val="fr-CA"/>
        </w:rPr>
        <w:footnoteReference w:id="14"/>
      </w:r>
      <w:r w:rsidR="00BA53A3" w:rsidRPr="000C08A4">
        <w:rPr>
          <w:lang w:val="fr-CA"/>
        </w:rPr>
        <w:t>.</w:t>
      </w:r>
    </w:p>
    <w:p w14:paraId="438EE8F1" w14:textId="19D874E9" w:rsidR="00933E02" w:rsidRPr="000C08A4" w:rsidRDefault="00933E02" w:rsidP="006152D4">
      <w:pPr>
        <w:pStyle w:val="Titre3"/>
        <w:widowControl/>
        <w:rPr>
          <w:lang w:val="fr-CA"/>
        </w:rPr>
      </w:pPr>
      <w:r w:rsidRPr="000C08A4">
        <w:rPr>
          <w:lang w:val="fr-CA"/>
        </w:rPr>
        <w:lastRenderedPageBreak/>
        <w:t xml:space="preserve">Des dispositions adéquates concernant la publication et la diffusion en temps opportuns de tous les résultats de la recherche, à moins qu’un délai supplémentaire soit jugé justifié par le bureau des contrats, </w:t>
      </w:r>
      <w:proofErr w:type="gramStart"/>
      <w:r w:rsidRPr="000C08A4">
        <w:rPr>
          <w:lang w:val="fr-CA"/>
        </w:rPr>
        <w:t>suite à une</w:t>
      </w:r>
      <w:proofErr w:type="gramEnd"/>
      <w:r w:rsidRPr="000C08A4">
        <w:rPr>
          <w:lang w:val="fr-CA"/>
        </w:rPr>
        <w:t xml:space="preserve"> consultation avec le CER</w:t>
      </w:r>
      <w:r w:rsidRPr="000C08A4">
        <w:rPr>
          <w:vertAlign w:val="superscript"/>
          <w:lang w:val="fr-CA"/>
        </w:rPr>
        <w:footnoteReference w:id="15"/>
      </w:r>
      <w:r w:rsidR="00BA53A3" w:rsidRPr="000C08A4">
        <w:rPr>
          <w:lang w:val="fr-CA"/>
        </w:rPr>
        <w:t>.</w:t>
      </w:r>
    </w:p>
    <w:p w14:paraId="636DC39F" w14:textId="3C42F8BD" w:rsidR="00933E02" w:rsidRPr="000C08A4" w:rsidRDefault="00933E02" w:rsidP="006152D4">
      <w:pPr>
        <w:pStyle w:val="Titre3"/>
        <w:widowControl/>
        <w:rPr>
          <w:lang w:val="fr-CA"/>
        </w:rPr>
      </w:pPr>
      <w:r w:rsidRPr="000C08A4">
        <w:rPr>
          <w:lang w:val="fr-CA"/>
        </w:rPr>
        <w:t>S’il y a lieu, la recherche est inscrite ou sera inscrite dans un registre des essais cliniques reconnus à l’échelle mondiale et le numéro d’enregistrement est ou sera soumis au CER</w:t>
      </w:r>
      <w:r w:rsidRPr="000C08A4">
        <w:rPr>
          <w:vertAlign w:val="superscript"/>
          <w:lang w:val="fr-CA"/>
        </w:rPr>
        <w:footnoteReference w:id="16"/>
      </w:r>
      <w:r w:rsidR="004D5ED4" w:rsidRPr="000C08A4">
        <w:rPr>
          <w:lang w:val="fr-CA"/>
        </w:rPr>
        <w:t>.</w:t>
      </w:r>
      <w:r w:rsidRPr="000C08A4">
        <w:rPr>
          <w:lang w:val="fr-CA"/>
        </w:rPr>
        <w:t xml:space="preserve"> Les chercheurs fournissent au CER le numéro d’enregistrement au moment de l’enregistrer</w:t>
      </w:r>
      <w:r w:rsidR="00BA53A3" w:rsidRPr="000C08A4">
        <w:rPr>
          <w:lang w:val="fr-CA"/>
        </w:rPr>
        <w:t>.</w:t>
      </w:r>
    </w:p>
    <w:p w14:paraId="06B15D10" w14:textId="77777777" w:rsidR="00B1160C" w:rsidRPr="000C08A4" w:rsidRDefault="00B1160C" w:rsidP="006152D4">
      <w:pPr>
        <w:pStyle w:val="Titre2"/>
        <w:widowControl/>
        <w:rPr>
          <w:lang w:val="fr-CA"/>
        </w:rPr>
      </w:pPr>
      <w:bookmarkStart w:id="10" w:name="_Toc151723888"/>
      <w:r w:rsidRPr="000C08A4">
        <w:rPr>
          <w:lang w:val="fr-CA"/>
        </w:rPr>
        <w:t>Critères additionnels</w:t>
      </w:r>
      <w:bookmarkEnd w:id="10"/>
    </w:p>
    <w:p w14:paraId="43ADBD20" w14:textId="77777777" w:rsidR="00B1160C" w:rsidRPr="000C08A4" w:rsidRDefault="00B1160C" w:rsidP="006152D4">
      <w:pPr>
        <w:pStyle w:val="Titre3"/>
        <w:widowControl/>
        <w:rPr>
          <w:lang w:val="fr-CA"/>
        </w:rPr>
      </w:pPr>
      <w:r w:rsidRPr="000C08A4">
        <w:rPr>
          <w:lang w:val="fr-CA"/>
        </w:rPr>
        <w:t>L’accès aux données du dossier médical à des fins de recherche peut être autorisé par le DSP</w:t>
      </w:r>
      <w:r w:rsidRPr="000C08A4">
        <w:rPr>
          <w:vertAlign w:val="superscript"/>
          <w:lang w:val="fr-CA"/>
        </w:rPr>
        <w:footnoteReference w:id="17"/>
      </w:r>
      <w:r w:rsidRPr="000C08A4">
        <w:rPr>
          <w:vertAlign w:val="superscript"/>
          <w:lang w:val="fr-CA"/>
        </w:rPr>
        <w:t xml:space="preserve"> </w:t>
      </w:r>
      <w:r w:rsidRPr="000C08A4">
        <w:rPr>
          <w:lang w:val="fr-CA"/>
        </w:rPr>
        <w:t>s’il est impossible, pratiquement impossible ou inopportun d’obtenir le consentement individuel. Le CER doit avoir approuvé la dispense de consentement.</w:t>
      </w:r>
    </w:p>
    <w:p w14:paraId="76F59F8F" w14:textId="77777777" w:rsidR="00B1160C" w:rsidRPr="000C08A4" w:rsidRDefault="00B1160C" w:rsidP="006152D4">
      <w:pPr>
        <w:pStyle w:val="Titre3"/>
        <w:widowControl/>
        <w:rPr>
          <w:lang w:val="fr-CA"/>
        </w:rPr>
      </w:pPr>
      <w:r w:rsidRPr="000C08A4">
        <w:rPr>
          <w:lang w:val="fr-CA"/>
        </w:rPr>
        <w:t>D’autres critères peuvent s’appliquer en fonction du type de recherche.</w:t>
      </w:r>
    </w:p>
    <w:p w14:paraId="6FE38566" w14:textId="77777777" w:rsidR="00B1160C" w:rsidRPr="000C08A4" w:rsidRDefault="00B1160C" w:rsidP="006152D4">
      <w:pPr>
        <w:pStyle w:val="Titre2"/>
        <w:widowControl/>
        <w:rPr>
          <w:lang w:val="fr-CA"/>
        </w:rPr>
      </w:pPr>
      <w:bookmarkStart w:id="11" w:name="_Toc151723889"/>
      <w:r w:rsidRPr="000C08A4">
        <w:rPr>
          <w:lang w:val="fr-CA"/>
        </w:rPr>
        <w:t>Durée de la période d’approbation</w:t>
      </w:r>
      <w:bookmarkEnd w:id="11"/>
    </w:p>
    <w:p w14:paraId="306FFCB2" w14:textId="771138CE" w:rsidR="00B1160C" w:rsidRPr="000C08A4" w:rsidRDefault="00B1160C" w:rsidP="006152D4">
      <w:pPr>
        <w:pStyle w:val="Titre3"/>
        <w:widowControl/>
        <w:rPr>
          <w:lang w:val="fr-CA"/>
        </w:rPr>
      </w:pPr>
      <w:r w:rsidRPr="000C08A4">
        <w:rPr>
          <w:lang w:val="fr-CA"/>
        </w:rPr>
        <w:t>Le CER doit évaluer la recherche à intervalles appropriés en fonction du niveau de risque, mais au moins une fois par année</w:t>
      </w:r>
      <w:r w:rsidRPr="000C08A4">
        <w:rPr>
          <w:vertAlign w:val="superscript"/>
          <w:lang w:val="fr-CA"/>
        </w:rPr>
        <w:footnoteReference w:id="18"/>
      </w:r>
      <w:r w:rsidR="00BA53A3" w:rsidRPr="000C08A4">
        <w:rPr>
          <w:lang w:val="fr-CA"/>
        </w:rPr>
        <w:t>.</w:t>
      </w:r>
    </w:p>
    <w:p w14:paraId="2303A05E" w14:textId="23266C7A" w:rsidR="00756C58" w:rsidRPr="000C08A4" w:rsidRDefault="002E18ED" w:rsidP="006152D4">
      <w:pPr>
        <w:pStyle w:val="Titre1"/>
        <w:widowControl/>
      </w:pPr>
      <w:bookmarkStart w:id="12" w:name="_Toc151723890"/>
      <w:bookmarkEnd w:id="7"/>
      <w:r w:rsidRPr="000C08A4">
        <w:t>R</w:t>
      </w:r>
      <w:r w:rsidR="00ED30D3" w:rsidRPr="000C08A4">
        <w:t>é</w:t>
      </w:r>
      <w:r w:rsidR="00756C58" w:rsidRPr="000C08A4">
        <w:t>f</w:t>
      </w:r>
      <w:r w:rsidR="00ED30D3" w:rsidRPr="000C08A4">
        <w:t>é</w:t>
      </w:r>
      <w:r w:rsidR="00756C58" w:rsidRPr="000C08A4">
        <w:t>rences</w:t>
      </w:r>
      <w:bookmarkEnd w:id="12"/>
    </w:p>
    <w:p w14:paraId="5D2C0AE4" w14:textId="772300F7" w:rsidR="00756C58" w:rsidRPr="000C08A4" w:rsidRDefault="00B1160C" w:rsidP="006152D4">
      <w:r w:rsidRPr="000C08A4">
        <w:t xml:space="preserve">Voir les notes </w:t>
      </w:r>
      <w:r w:rsidR="00EE4B3F" w:rsidRPr="000C08A4">
        <w:t>en</w:t>
      </w:r>
      <w:r w:rsidRPr="000C08A4">
        <w:t xml:space="preserve"> bas de page.</w:t>
      </w:r>
    </w:p>
    <w:p w14:paraId="7DAAB75F" w14:textId="6CC64D23" w:rsidR="00756C58" w:rsidRPr="000C08A4" w:rsidRDefault="00347179" w:rsidP="006152D4">
      <w:pPr>
        <w:pStyle w:val="Titre1"/>
        <w:widowControl/>
      </w:pPr>
      <w:bookmarkStart w:id="13" w:name="_Toc151723891"/>
      <w:r w:rsidRPr="000C08A4">
        <w:t xml:space="preserve">Historique des </w:t>
      </w:r>
      <w:r w:rsidR="002E18ED" w:rsidRPr="000C08A4">
        <w:t>R</w:t>
      </w:r>
      <w:r w:rsidRPr="000C08A4">
        <w:t>é</w:t>
      </w:r>
      <w:r w:rsidR="00756C58" w:rsidRPr="000C08A4">
        <w:t>vision</w:t>
      </w:r>
      <w:r w:rsidRPr="000C08A4">
        <w:t>s</w:t>
      </w:r>
      <w:bookmarkEnd w:id="13"/>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0C08A4" w14:paraId="48F7327B" w14:textId="77777777" w:rsidTr="00474636">
        <w:tc>
          <w:tcPr>
            <w:tcW w:w="2439" w:type="dxa"/>
            <w:tcBorders>
              <w:right w:val="single" w:sz="4" w:space="0" w:color="auto"/>
            </w:tcBorders>
            <w:shd w:val="clear" w:color="auto" w:fill="auto"/>
            <w:vAlign w:val="center"/>
          </w:tcPr>
          <w:p w14:paraId="1949C2F5" w14:textId="02C999CD" w:rsidR="00756C58" w:rsidRPr="000C08A4" w:rsidRDefault="00347179" w:rsidP="006152D4">
            <w:pPr>
              <w:spacing w:before="0" w:after="0"/>
              <w:jc w:val="center"/>
              <w:rPr>
                <w:rFonts w:eastAsia="Calibri"/>
                <w:b/>
              </w:rPr>
            </w:pPr>
            <w:r w:rsidRPr="000C08A4">
              <w:rPr>
                <w:rFonts w:eastAsia="Calibri"/>
                <w:b/>
              </w:rPr>
              <w:t xml:space="preserve">Code </w:t>
            </w:r>
            <w:r w:rsidR="00474636" w:rsidRPr="000C08A4">
              <w:rPr>
                <w:rFonts w:eastAsia="Calibri"/>
                <w:b/>
              </w:rPr>
              <w:t xml:space="preserve">du </w:t>
            </w:r>
            <w:r w:rsidRPr="000C08A4">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0C08A4" w:rsidRDefault="00474636" w:rsidP="006152D4">
            <w:pPr>
              <w:spacing w:before="0" w:after="0"/>
              <w:jc w:val="center"/>
              <w:rPr>
                <w:rFonts w:eastAsia="Calibri"/>
                <w:b/>
              </w:rPr>
            </w:pPr>
            <w:r w:rsidRPr="000C08A4">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0C08A4" w:rsidRDefault="00347179" w:rsidP="006152D4">
            <w:pPr>
              <w:spacing w:before="0" w:after="0"/>
              <w:jc w:val="left"/>
              <w:rPr>
                <w:rFonts w:eastAsia="Calibri"/>
                <w:b/>
              </w:rPr>
            </w:pPr>
            <w:r w:rsidRPr="000C08A4">
              <w:rPr>
                <w:rFonts w:eastAsia="Calibri"/>
                <w:b/>
              </w:rPr>
              <w:t xml:space="preserve">Résumé des </w:t>
            </w:r>
            <w:r w:rsidR="00474636" w:rsidRPr="000C08A4">
              <w:rPr>
                <w:rFonts w:eastAsia="Calibri"/>
                <w:b/>
              </w:rPr>
              <w:t>modifications</w:t>
            </w:r>
          </w:p>
        </w:tc>
      </w:tr>
      <w:tr w:rsidR="00B40F01" w:rsidRPr="000C08A4" w14:paraId="4D71CB09" w14:textId="77777777" w:rsidTr="00474636">
        <w:tc>
          <w:tcPr>
            <w:tcW w:w="2439" w:type="dxa"/>
            <w:tcBorders>
              <w:right w:val="single" w:sz="4" w:space="0" w:color="auto"/>
            </w:tcBorders>
            <w:shd w:val="clear" w:color="auto" w:fill="auto"/>
            <w:vAlign w:val="center"/>
          </w:tcPr>
          <w:p w14:paraId="4E586DA7" w14:textId="6E3CF182" w:rsidR="00B40F01" w:rsidRPr="000C08A4" w:rsidRDefault="00B40F01" w:rsidP="006152D4">
            <w:pPr>
              <w:spacing w:before="0" w:after="0"/>
              <w:jc w:val="left"/>
              <w:rPr>
                <w:rFonts w:eastAsia="Calibri" w:cs="Arial"/>
              </w:rPr>
            </w:pPr>
            <w:r w:rsidRPr="000C08A4">
              <w:rPr>
                <w:rFonts w:eastAsia="Calibri"/>
              </w:rPr>
              <w:t>MON-CÉR 403.001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2E456E9B" w:rsidR="00B40F01" w:rsidRPr="000C08A4" w:rsidRDefault="00823C1D" w:rsidP="006152D4">
            <w:pPr>
              <w:spacing w:before="0" w:after="0"/>
              <w:jc w:val="center"/>
              <w:rPr>
                <w:rFonts w:eastAsia="Calibri"/>
              </w:rPr>
            </w:pPr>
            <w:r w:rsidRPr="000C08A4">
              <w:t>2020-01-31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7838FE51" w:rsidR="00B40F01" w:rsidRPr="000C08A4" w:rsidRDefault="00B40F01" w:rsidP="006152D4">
            <w:pPr>
              <w:spacing w:before="0" w:after="0"/>
              <w:jc w:val="left"/>
              <w:rPr>
                <w:rFonts w:eastAsia="Calibri"/>
              </w:rPr>
            </w:pPr>
            <w:r w:rsidRPr="000C08A4">
              <w:rPr>
                <w:rFonts w:eastAsia="Calibri"/>
              </w:rPr>
              <w:t>Version originale</w:t>
            </w:r>
          </w:p>
        </w:tc>
      </w:tr>
      <w:tr w:rsidR="00B1160C" w:rsidRPr="000C08A4" w14:paraId="3C8E0466" w14:textId="77777777" w:rsidTr="00474636">
        <w:tc>
          <w:tcPr>
            <w:tcW w:w="2439" w:type="dxa"/>
            <w:tcBorders>
              <w:right w:val="single" w:sz="4" w:space="0" w:color="auto"/>
            </w:tcBorders>
            <w:shd w:val="clear" w:color="auto" w:fill="auto"/>
            <w:vAlign w:val="center"/>
          </w:tcPr>
          <w:p w14:paraId="2187091D" w14:textId="5A494FB9" w:rsidR="00B1160C" w:rsidRPr="000C08A4" w:rsidRDefault="009F302E" w:rsidP="006152D4">
            <w:pPr>
              <w:spacing w:before="0" w:after="0"/>
              <w:jc w:val="left"/>
              <w:rPr>
                <w:rFonts w:eastAsia="Calibri"/>
              </w:rPr>
            </w:pPr>
            <w:r w:rsidRPr="000C08A4">
              <w:t>MON-CÉR 403.002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0A9839A5" w:rsidR="00B1160C" w:rsidRPr="000C08A4" w:rsidRDefault="009F302E" w:rsidP="006152D4">
            <w:pPr>
              <w:spacing w:before="0" w:after="0"/>
              <w:jc w:val="center"/>
              <w:rPr>
                <w:rFonts w:eastAsia="Calibri"/>
              </w:rPr>
            </w:pPr>
            <w:r w:rsidRPr="000C08A4">
              <w:rPr>
                <w:rStyle w:val="normaltextrun"/>
                <w:rFonts w:ascii="Calibri" w:hAnsi="Calibri" w:cs="Calibri"/>
                <w:color w:val="D13438"/>
                <w:bdr w:val="none" w:sz="0" w:space="0" w:color="auto" w:frame="1"/>
              </w:rPr>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3CB812A" w14:textId="77777777" w:rsidR="009F302E" w:rsidRPr="000C08A4" w:rsidRDefault="009F302E" w:rsidP="009F302E">
            <w:pPr>
              <w:pStyle w:val="paragraph"/>
              <w:spacing w:before="0" w:beforeAutospacing="0" w:after="0" w:afterAutospacing="0"/>
              <w:textAlignment w:val="baseline"/>
              <w:rPr>
                <w:rFonts w:ascii="Segoe UI" w:hAnsi="Segoe UI" w:cs="Segoe UI"/>
                <w:sz w:val="18"/>
                <w:szCs w:val="18"/>
              </w:rPr>
            </w:pPr>
            <w:r w:rsidRPr="000C08A4">
              <w:rPr>
                <w:rStyle w:val="normaltextrun"/>
                <w:rFonts w:ascii="Calibri" w:eastAsiaTheme="majorEastAsia" w:hAnsi="Calibri" w:cs="Calibri"/>
              </w:rPr>
              <w:t>Mise à jour en fonction de la réglementation en vigueur</w:t>
            </w:r>
            <w:r w:rsidRPr="000C08A4">
              <w:rPr>
                <w:rStyle w:val="eop"/>
                <w:rFonts w:ascii="Calibri" w:eastAsiaTheme="majorEastAsia" w:hAnsi="Calibri" w:cs="Calibri"/>
              </w:rPr>
              <w:t> </w:t>
            </w:r>
          </w:p>
          <w:p w14:paraId="0126EDA5" w14:textId="77777777" w:rsidR="009F302E" w:rsidRPr="000C08A4" w:rsidRDefault="009F302E" w:rsidP="009F302E">
            <w:pPr>
              <w:pStyle w:val="paragraph"/>
              <w:spacing w:before="0" w:beforeAutospacing="0" w:after="0" w:afterAutospacing="0"/>
              <w:textAlignment w:val="baseline"/>
              <w:rPr>
                <w:rFonts w:ascii="Segoe UI" w:hAnsi="Segoe UI" w:cs="Segoe UI"/>
                <w:sz w:val="18"/>
                <w:szCs w:val="18"/>
              </w:rPr>
            </w:pPr>
            <w:r w:rsidRPr="000C08A4">
              <w:rPr>
                <w:rStyle w:val="normaltextrun"/>
                <w:rFonts w:ascii="Calibri" w:eastAsiaTheme="majorEastAsia" w:hAnsi="Calibri" w:cs="Calibri"/>
              </w:rPr>
              <w:t>Mise à jour des références</w:t>
            </w:r>
            <w:r w:rsidRPr="000C08A4">
              <w:rPr>
                <w:rStyle w:val="eop"/>
                <w:rFonts w:ascii="Calibri" w:eastAsiaTheme="majorEastAsia" w:hAnsi="Calibri" w:cs="Calibri"/>
              </w:rPr>
              <w:t> </w:t>
            </w:r>
          </w:p>
          <w:p w14:paraId="36DC4D4B" w14:textId="3D816954" w:rsidR="00B1160C" w:rsidRPr="000C08A4" w:rsidRDefault="00B1160C" w:rsidP="006152D4">
            <w:pPr>
              <w:spacing w:before="0" w:after="0"/>
              <w:jc w:val="left"/>
              <w:rPr>
                <w:rFonts w:eastAsia="Calibri"/>
              </w:rPr>
            </w:pPr>
          </w:p>
        </w:tc>
      </w:tr>
      <w:tr w:rsidR="00B1160C" w:rsidRPr="000C08A4" w14:paraId="4C850D18" w14:textId="77777777" w:rsidTr="00474636">
        <w:tc>
          <w:tcPr>
            <w:tcW w:w="2439" w:type="dxa"/>
            <w:tcBorders>
              <w:right w:val="single" w:sz="4" w:space="0" w:color="auto"/>
            </w:tcBorders>
            <w:shd w:val="clear" w:color="auto" w:fill="auto"/>
            <w:vAlign w:val="center"/>
          </w:tcPr>
          <w:p w14:paraId="2F4B81D7" w14:textId="77777777" w:rsidR="00B1160C" w:rsidRPr="000C08A4" w:rsidRDefault="00B1160C" w:rsidP="006152D4">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B1160C" w:rsidRPr="000C08A4" w:rsidRDefault="00B1160C" w:rsidP="006152D4">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B1160C" w:rsidRPr="000C08A4" w:rsidRDefault="00B1160C" w:rsidP="006152D4">
            <w:pPr>
              <w:spacing w:before="0" w:after="0"/>
              <w:jc w:val="left"/>
              <w:rPr>
                <w:rFonts w:eastAsia="Calibri"/>
              </w:rPr>
            </w:pPr>
          </w:p>
        </w:tc>
      </w:tr>
    </w:tbl>
    <w:p w14:paraId="398F1FC7" w14:textId="17AC23FE" w:rsidR="00381E3D" w:rsidRPr="000C08A4" w:rsidRDefault="00DF0771" w:rsidP="006152D4">
      <w:pPr>
        <w:pStyle w:val="Titre1"/>
        <w:widowControl/>
      </w:pPr>
      <w:bookmarkStart w:id="14" w:name="_Toc151723892"/>
      <w:r w:rsidRPr="000C08A4">
        <w:t>Annexes</w:t>
      </w:r>
      <w:bookmarkEnd w:id="14"/>
    </w:p>
    <w:sectPr w:rsidR="00381E3D" w:rsidRPr="000C08A4" w:rsidSect="0030269A">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7A22" w14:textId="77777777" w:rsidR="00E76C63" w:rsidRDefault="00E76C63" w:rsidP="0030269A">
      <w:pPr>
        <w:spacing w:before="0" w:after="0"/>
      </w:pPr>
      <w:r>
        <w:separator/>
      </w:r>
    </w:p>
  </w:endnote>
  <w:endnote w:type="continuationSeparator" w:id="0">
    <w:p w14:paraId="15BB8A98" w14:textId="77777777" w:rsidR="00E76C63" w:rsidRDefault="00E76C63"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E823" w14:textId="77777777" w:rsidR="002E18ED" w:rsidRPr="00627E38" w:rsidRDefault="002E18ED" w:rsidP="002E18ED">
    <w:pPr>
      <w:pStyle w:val="Pieddepage"/>
      <w:pBdr>
        <w:bottom w:val="single" w:sz="4" w:space="1" w:color="auto"/>
      </w:pBdr>
      <w:rPr>
        <w:sz w:val="20"/>
        <w:szCs w:val="20"/>
      </w:rPr>
    </w:pPr>
  </w:p>
  <w:p w14:paraId="6D8EC9FE" w14:textId="77777777" w:rsidR="00765482" w:rsidRPr="00765482" w:rsidRDefault="00765482" w:rsidP="00765482">
    <w:pPr>
      <w:spacing w:before="0" w:after="0"/>
      <w:ind w:left="567" w:hanging="567"/>
      <w:jc w:val="left"/>
      <w:rPr>
        <w:rFonts w:eastAsia="Times New Roman"/>
        <w:lang w:val="fr-FR"/>
      </w:rPr>
    </w:pPr>
    <w:r w:rsidRPr="00765482">
      <w:rPr>
        <w:rFonts w:eastAsia="Times New Roman"/>
        <w:color w:val="A6A6A6"/>
        <w:sz w:val="20"/>
        <w:szCs w:val="20"/>
      </w:rPr>
      <w:t>MON N2 ACCER actualisé suivant les normes québécoises </w:t>
    </w:r>
  </w:p>
  <w:p w14:paraId="2EBC3A1E" w14:textId="160F8C87" w:rsidR="002E18ED" w:rsidRPr="00347179" w:rsidRDefault="002E18ED" w:rsidP="72DFED3B">
    <w:pPr>
      <w:pStyle w:val="Pieddepage"/>
      <w:tabs>
        <w:tab w:val="clear" w:pos="4153"/>
        <w:tab w:val="clear" w:pos="8306"/>
        <w:tab w:val="right" w:pos="10065"/>
      </w:tabs>
      <w:rPr>
        <w:sz w:val="20"/>
        <w:szCs w:val="20"/>
      </w:rPr>
    </w:pPr>
    <w:r w:rsidRPr="00347179">
      <w:rPr>
        <w:rFonts w:cstheme="minorHAnsi"/>
        <w:sz w:val="20"/>
        <w:szCs w:val="20"/>
      </w:rPr>
      <w:tab/>
    </w:r>
    <w:r w:rsidRPr="36E49457">
      <w:rPr>
        <w:sz w:val="20"/>
        <w:szCs w:val="20"/>
      </w:rPr>
      <w:t xml:space="preserve">Page </w:t>
    </w:r>
    <w:r w:rsidRPr="36E49457">
      <w:rPr>
        <w:sz w:val="20"/>
        <w:szCs w:val="20"/>
        <w:lang w:val="fr-FR"/>
      </w:rPr>
      <w:fldChar w:fldCharType="begin"/>
    </w:r>
    <w:r w:rsidRPr="00347179">
      <w:rPr>
        <w:rFonts w:cstheme="minorHAnsi"/>
        <w:sz w:val="20"/>
        <w:szCs w:val="20"/>
      </w:rPr>
      <w:instrText xml:space="preserve"> PAGE </w:instrText>
    </w:r>
    <w:r w:rsidRPr="36E49457">
      <w:rPr>
        <w:rFonts w:cstheme="minorHAnsi"/>
        <w:sz w:val="20"/>
        <w:szCs w:val="20"/>
        <w:lang w:val="en-CA"/>
      </w:rPr>
      <w:fldChar w:fldCharType="separate"/>
    </w:r>
    <w:r w:rsidR="00C94729">
      <w:rPr>
        <w:rFonts w:cstheme="minorHAnsi"/>
        <w:noProof/>
        <w:sz w:val="20"/>
        <w:szCs w:val="20"/>
      </w:rPr>
      <w:t>5</w:t>
    </w:r>
    <w:r w:rsidRPr="36E49457">
      <w:rPr>
        <w:sz w:val="20"/>
        <w:szCs w:val="20"/>
        <w:lang w:val="fr-FR"/>
      </w:rPr>
      <w:fldChar w:fldCharType="end"/>
    </w:r>
    <w:r w:rsidRPr="36E49457">
      <w:rPr>
        <w:sz w:val="20"/>
        <w:szCs w:val="20"/>
      </w:rPr>
      <w:t xml:space="preserve"> </w:t>
    </w:r>
    <w:r w:rsidR="005153D0">
      <w:rPr>
        <w:sz w:val="20"/>
        <w:szCs w:val="20"/>
      </w:rPr>
      <w:t>de</w:t>
    </w:r>
    <w:r w:rsidRPr="36E49457">
      <w:rPr>
        <w:sz w:val="20"/>
        <w:szCs w:val="20"/>
      </w:rPr>
      <w:t xml:space="preserve"> </w:t>
    </w:r>
    <w:r w:rsidRPr="36E49457">
      <w:rPr>
        <w:sz w:val="20"/>
        <w:szCs w:val="20"/>
        <w:lang w:val="fr-FR"/>
      </w:rPr>
      <w:fldChar w:fldCharType="begin"/>
    </w:r>
    <w:r w:rsidRPr="00347179">
      <w:rPr>
        <w:rFonts w:cstheme="minorHAnsi"/>
        <w:sz w:val="20"/>
        <w:szCs w:val="20"/>
      </w:rPr>
      <w:instrText xml:space="preserve"> NUMPAGES </w:instrText>
    </w:r>
    <w:r w:rsidRPr="36E49457">
      <w:rPr>
        <w:rFonts w:cstheme="minorHAnsi"/>
        <w:sz w:val="20"/>
        <w:szCs w:val="20"/>
        <w:lang w:val="en-CA"/>
      </w:rPr>
      <w:fldChar w:fldCharType="separate"/>
    </w:r>
    <w:r w:rsidR="00C94729">
      <w:rPr>
        <w:rFonts w:cstheme="minorHAnsi"/>
        <w:noProof/>
        <w:sz w:val="20"/>
        <w:szCs w:val="20"/>
      </w:rPr>
      <w:t>5</w:t>
    </w:r>
    <w:r w:rsidRPr="36E49457">
      <w:rPr>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B3CB" w14:textId="77777777" w:rsidR="00E76C63" w:rsidRDefault="00E76C63" w:rsidP="0030269A">
      <w:pPr>
        <w:spacing w:before="0" w:after="0"/>
      </w:pPr>
      <w:r>
        <w:separator/>
      </w:r>
    </w:p>
  </w:footnote>
  <w:footnote w:type="continuationSeparator" w:id="0">
    <w:p w14:paraId="164261A1" w14:textId="77777777" w:rsidR="00E76C63" w:rsidRDefault="00E76C63" w:rsidP="0030269A">
      <w:pPr>
        <w:spacing w:before="0" w:after="0"/>
      </w:pPr>
      <w:r>
        <w:continuationSeparator/>
      </w:r>
    </w:p>
  </w:footnote>
  <w:footnote w:id="1">
    <w:p w14:paraId="04F69623" w14:textId="4B2E1599" w:rsidR="00933E02" w:rsidRPr="00765482" w:rsidRDefault="00933E02" w:rsidP="001D7896">
      <w:pPr>
        <w:pStyle w:val="Notedebasdepage"/>
        <w:rPr>
          <w:rFonts w:cstheme="minorHAnsi"/>
        </w:rPr>
      </w:pPr>
      <w:r w:rsidRPr="005D3AB3">
        <w:rPr>
          <w:rStyle w:val="Appelnotedebasdep"/>
          <w:rFonts w:cstheme="minorHAnsi"/>
        </w:rPr>
        <w:footnoteRef/>
      </w:r>
      <w:r w:rsidR="001D7896" w:rsidRPr="005D3AB3">
        <w:rPr>
          <w:rFonts w:cstheme="minorHAnsi"/>
        </w:rPr>
        <w:tab/>
      </w:r>
      <w:r w:rsidR="00497504" w:rsidRPr="00765482">
        <w:t>Voir le MON</w:t>
      </w:r>
      <w:r w:rsidR="000C08A4">
        <w:t>-CER</w:t>
      </w:r>
      <w:r w:rsidR="00497504" w:rsidRPr="00765482">
        <w:t> 301-002.</w:t>
      </w:r>
    </w:p>
  </w:footnote>
  <w:footnote w:id="2">
    <w:p w14:paraId="02EA7B5C" w14:textId="31366D9F" w:rsidR="00933E02" w:rsidRPr="00765482" w:rsidRDefault="00933E02" w:rsidP="001D7896">
      <w:pPr>
        <w:pStyle w:val="Notedebasdepage"/>
        <w:rPr>
          <w:rFonts w:cstheme="minorHAnsi"/>
        </w:rPr>
      </w:pPr>
      <w:r w:rsidRPr="00765482">
        <w:rPr>
          <w:rStyle w:val="Appelnotedebasdep"/>
          <w:rFonts w:cstheme="minorHAnsi"/>
        </w:rPr>
        <w:footnoteRef/>
      </w:r>
      <w:r w:rsidR="001D7896" w:rsidRPr="00765482">
        <w:rPr>
          <w:rFonts w:cstheme="minorHAnsi"/>
        </w:rPr>
        <w:tab/>
      </w:r>
      <w:r w:rsidRPr="00765482">
        <w:rPr>
          <w:rFonts w:cstheme="minorHAnsi"/>
        </w:rPr>
        <w:t xml:space="preserve"> </w:t>
      </w:r>
      <w:r w:rsidR="00415D7C" w:rsidRPr="00765482">
        <w:rPr>
          <w:i/>
          <w:iCs/>
        </w:rPr>
        <w:t>Ligne directrice – Bonnes pratiques cliniques : directives consolidées</w:t>
      </w:r>
      <w:r w:rsidR="00415D7C" w:rsidRPr="00765482">
        <w:t xml:space="preserve">, </w:t>
      </w:r>
      <w:r w:rsidR="00415D7C" w:rsidRPr="00765482">
        <w:rPr>
          <w:i/>
          <w:iCs/>
        </w:rPr>
        <w:t>Addenda intégré de l’E6(R1) ICH thème E6(R2)</w:t>
      </w:r>
      <w:r w:rsidR="00415D7C" w:rsidRPr="00765482">
        <w:t>, Santé Canada, avril 2019, sect. 3.3.5, ci-après « </w:t>
      </w:r>
      <w:r w:rsidR="00415D7C" w:rsidRPr="00765482">
        <w:rPr>
          <w:i/>
          <w:iCs/>
        </w:rPr>
        <w:t>BPC</w:t>
      </w:r>
      <w:r w:rsidR="00415D7C" w:rsidRPr="00765482">
        <w:t> »</w:t>
      </w:r>
      <w:r w:rsidRPr="00765482">
        <w:rPr>
          <w:rFonts w:cstheme="minorHAnsi"/>
        </w:rPr>
        <w:t xml:space="preserve">. </w:t>
      </w:r>
      <w:r w:rsidRPr="00765482">
        <w:rPr>
          <w:rFonts w:cstheme="minorHAnsi"/>
          <w:i/>
        </w:rPr>
        <w:t>Lignes directrices opérationnelles pour les Comités d’Éthique chargés de l’évaluation de la Recherche Biomédicale</w:t>
      </w:r>
      <w:r w:rsidRPr="00765482">
        <w:rPr>
          <w:rFonts w:cstheme="minorHAnsi"/>
        </w:rPr>
        <w:t>, Organisation Mondiale de la Santé, 2000, point</w:t>
      </w:r>
      <w:r w:rsidR="0008733A" w:rsidRPr="00765482">
        <w:rPr>
          <w:rFonts w:cstheme="minorHAnsi"/>
        </w:rPr>
        <w:t> </w:t>
      </w:r>
      <w:r w:rsidRPr="00765482">
        <w:rPr>
          <w:rFonts w:cstheme="minorHAnsi"/>
        </w:rPr>
        <w:t>5.1, 5.3.7 et 6.2.3.1, ci-après « </w:t>
      </w:r>
      <w:r w:rsidRPr="00765482">
        <w:rPr>
          <w:rFonts w:cstheme="minorHAnsi"/>
          <w:i/>
        </w:rPr>
        <w:t>LDO</w:t>
      </w:r>
      <w:r w:rsidRPr="00765482">
        <w:rPr>
          <w:rFonts w:cstheme="minorHAnsi"/>
        </w:rPr>
        <w:t xml:space="preserve"> »; </w:t>
      </w:r>
      <w:r w:rsidRPr="00765482">
        <w:rPr>
          <w:rFonts w:cstheme="minorHAnsi"/>
          <w:i/>
        </w:rPr>
        <w:t>Avis sur les conditions d’exercice des comités d’éthique de la recherche désignés ou institués par le ministre de la Santé et des Services sociaux en vertu de l’article</w:t>
      </w:r>
      <w:r w:rsidR="0008733A" w:rsidRPr="00765482">
        <w:rPr>
          <w:rFonts w:cstheme="minorHAnsi"/>
          <w:i/>
        </w:rPr>
        <w:t> </w:t>
      </w:r>
      <w:r w:rsidRPr="00765482">
        <w:rPr>
          <w:rFonts w:cstheme="minorHAnsi"/>
          <w:i/>
        </w:rPr>
        <w:t>21 du Code civil</w:t>
      </w:r>
      <w:r w:rsidRPr="00765482">
        <w:rPr>
          <w:rFonts w:cstheme="minorHAnsi"/>
        </w:rPr>
        <w:t>, Gazette officielle du Québec, Partie I, vol.</w:t>
      </w:r>
      <w:r w:rsidR="0008733A" w:rsidRPr="00765482">
        <w:rPr>
          <w:rFonts w:cstheme="minorHAnsi"/>
        </w:rPr>
        <w:t> </w:t>
      </w:r>
      <w:r w:rsidRPr="00765482">
        <w:rPr>
          <w:rFonts w:cstheme="minorHAnsi"/>
        </w:rPr>
        <w:t>35, 1998, p. 1039, ci-après « </w:t>
      </w:r>
      <w:r w:rsidRPr="00765482">
        <w:rPr>
          <w:rFonts w:cstheme="minorHAnsi"/>
          <w:i/>
        </w:rPr>
        <w:t>Avis</w:t>
      </w:r>
      <w:r w:rsidRPr="00765482">
        <w:rPr>
          <w:rFonts w:cstheme="minorHAnsi"/>
        </w:rPr>
        <w:t> »</w:t>
      </w:r>
      <w:r w:rsidR="00497504" w:rsidRPr="00765482">
        <w:rPr>
          <w:rFonts w:cstheme="minorHAnsi"/>
        </w:rPr>
        <w:t xml:space="preserve"> </w:t>
      </w:r>
    </w:p>
  </w:footnote>
  <w:footnote w:id="3">
    <w:p w14:paraId="788B2633" w14:textId="60D3DF02" w:rsidR="00933E02" w:rsidRPr="005D3AB3" w:rsidRDefault="00933E02" w:rsidP="00A51BB0">
      <w:pPr>
        <w:pStyle w:val="Notedebasdepage"/>
        <w:rPr>
          <w:rFonts w:cstheme="minorHAnsi"/>
        </w:rPr>
      </w:pPr>
      <w:r w:rsidRPr="00765482">
        <w:rPr>
          <w:rStyle w:val="Appelnotedebasdep"/>
          <w:rFonts w:cstheme="minorHAnsi"/>
        </w:rPr>
        <w:footnoteRef/>
      </w:r>
      <w:r w:rsidR="00A51BB0" w:rsidRPr="00765482">
        <w:rPr>
          <w:rFonts w:cstheme="minorHAnsi"/>
        </w:rPr>
        <w:tab/>
      </w:r>
      <w:r w:rsidR="00452801" w:rsidRPr="00765482">
        <w:t xml:space="preserve">Conseil de recherche en sciences humaines, Conseil de recherche en sciences naturelles et en génie du Canada, Instituts de recherche en santé du Canada, </w:t>
      </w:r>
      <w:r w:rsidR="00452801" w:rsidRPr="00765482">
        <w:rPr>
          <w:i/>
          <w:iCs/>
        </w:rPr>
        <w:t xml:space="preserve">Énoncé de politique des trois conseils : Éthique de la recherche avec des êtres humains, </w:t>
      </w:r>
      <w:bookmarkStart w:id="8" w:name="_Hlk151723503"/>
      <w:r w:rsidR="000C08A4" w:rsidRPr="000C08A4">
        <w:t>Décembre</w:t>
      </w:r>
      <w:r w:rsidR="00452801" w:rsidRPr="000C08A4">
        <w:t xml:space="preserve"> </w:t>
      </w:r>
      <w:bookmarkEnd w:id="8"/>
      <w:r w:rsidR="00452801" w:rsidRPr="00765482">
        <w:t xml:space="preserve">2018, </w:t>
      </w:r>
      <w:r w:rsidR="009F302E" w:rsidRPr="00765482">
        <w:rPr>
          <w:rStyle w:val="normaltextrun"/>
          <w:rFonts w:ascii="Calibri" w:hAnsi="Calibri" w:cs="Calibri"/>
          <w:color w:val="000000"/>
          <w:shd w:val="clear" w:color="auto" w:fill="FFFFFF"/>
        </w:rPr>
        <w:t>ar</w:t>
      </w:r>
      <w:r w:rsidR="009F302E" w:rsidRPr="00765482">
        <w:rPr>
          <w:rStyle w:val="normaltextrun"/>
          <w:rFonts w:ascii="Calibri" w:hAnsi="Calibri" w:cs="Calibri"/>
          <w:shd w:val="clear" w:color="auto" w:fill="FFFFFF"/>
        </w:rPr>
        <w:t>t. 7.2, 7.3 et 7.4 et texte d’application, ci-après « </w:t>
      </w:r>
      <w:r w:rsidR="009F302E" w:rsidRPr="00765482">
        <w:rPr>
          <w:rStyle w:val="normaltextrun"/>
          <w:rFonts w:ascii="Calibri" w:hAnsi="Calibri" w:cs="Calibri"/>
          <w:i/>
          <w:iCs/>
          <w:shd w:val="clear" w:color="auto" w:fill="FFFFFF"/>
        </w:rPr>
        <w:t>EPTC 2 »</w:t>
      </w:r>
      <w:r w:rsidR="009F302E" w:rsidRPr="00765482">
        <w:rPr>
          <w:rStyle w:val="normaltextrun"/>
          <w:rFonts w:ascii="Calibri" w:hAnsi="Calibri" w:cs="Calibri"/>
          <w:shd w:val="clear" w:color="auto" w:fill="FFFFFF"/>
        </w:rPr>
        <w:t>; Voir également le MON</w:t>
      </w:r>
      <w:r w:rsidR="000C08A4">
        <w:rPr>
          <w:rStyle w:val="normaltextrun"/>
          <w:rFonts w:ascii="Calibri" w:hAnsi="Calibri" w:cs="Calibri"/>
          <w:shd w:val="clear" w:color="auto" w:fill="FFFFFF"/>
        </w:rPr>
        <w:t>-CER</w:t>
      </w:r>
      <w:r w:rsidR="009F302E" w:rsidRPr="00765482">
        <w:rPr>
          <w:rStyle w:val="normaltextrun"/>
          <w:rFonts w:ascii="Calibri" w:hAnsi="Calibri" w:cs="Calibri"/>
          <w:shd w:val="clear" w:color="auto" w:fill="FFFFFF"/>
        </w:rPr>
        <w:t> 105A-002, 105B-002 et 105C-002.</w:t>
      </w:r>
      <w:r w:rsidR="009F302E" w:rsidRPr="00765482">
        <w:rPr>
          <w:rStyle w:val="eop"/>
          <w:rFonts w:ascii="Calibri" w:hAnsi="Calibri" w:cs="Calibri"/>
          <w:shd w:val="clear" w:color="auto" w:fill="FFFFFF"/>
        </w:rPr>
        <w:t> </w:t>
      </w:r>
    </w:p>
  </w:footnote>
  <w:footnote w:id="4">
    <w:p w14:paraId="0D457210" w14:textId="0C559C3C" w:rsidR="00933E02" w:rsidRPr="00765482" w:rsidRDefault="00933E02" w:rsidP="00A51BB0">
      <w:pPr>
        <w:pStyle w:val="Notedebasdepage"/>
        <w:rPr>
          <w:rFonts w:cstheme="minorHAnsi"/>
        </w:rPr>
      </w:pPr>
      <w:r w:rsidRPr="00765482">
        <w:rPr>
          <w:rStyle w:val="Appelnotedebasdep"/>
          <w:rFonts w:cstheme="minorHAnsi"/>
        </w:rPr>
        <w:footnoteRef/>
      </w:r>
      <w:r w:rsidRPr="00765482">
        <w:rPr>
          <w:rFonts w:cstheme="minorHAnsi"/>
          <w:vertAlign w:val="superscript"/>
        </w:rPr>
        <w:t xml:space="preserve"> </w:t>
      </w:r>
      <w:r w:rsidR="00A51BB0" w:rsidRPr="00765482">
        <w:rPr>
          <w:rFonts w:cstheme="minorHAnsi"/>
        </w:rPr>
        <w:tab/>
      </w:r>
      <w:r w:rsidR="00415D7C" w:rsidRPr="00765482">
        <w:rPr>
          <w:rStyle w:val="normaltextrun"/>
          <w:rFonts w:ascii="Calibri" w:hAnsi="Calibri" w:cs="Calibri"/>
          <w:i/>
          <w:iCs/>
          <w:shd w:val="clear" w:color="auto" w:fill="FFFFFF"/>
        </w:rPr>
        <w:t>EPTC 2</w:t>
      </w:r>
      <w:r w:rsidR="00415D7C" w:rsidRPr="00765482">
        <w:rPr>
          <w:rStyle w:val="normaltextrun"/>
          <w:rFonts w:ascii="Calibri" w:hAnsi="Calibri" w:cs="Calibri"/>
          <w:shd w:val="clear" w:color="auto" w:fill="FFFFFF"/>
        </w:rPr>
        <w:t>, application sous l’article 2.8; </w:t>
      </w:r>
      <w:r w:rsidR="00415D7C" w:rsidRPr="00765482">
        <w:rPr>
          <w:rStyle w:val="normaltextrun"/>
          <w:rFonts w:ascii="Calibri" w:hAnsi="Calibri" w:cs="Calibri"/>
          <w:i/>
          <w:iCs/>
          <w:shd w:val="clear" w:color="auto" w:fill="FFFFFF"/>
        </w:rPr>
        <w:t>Avis sur les conditions d’exercice des comités d’éthique de la recherche désignés ou institués par le ministre de la Santé et des Services sociaux, en vertu de l’article 21 du Code civil</w:t>
      </w:r>
      <w:r w:rsidR="00415D7C" w:rsidRPr="00765482">
        <w:rPr>
          <w:rStyle w:val="normaltextrun"/>
          <w:rFonts w:ascii="Calibri" w:hAnsi="Calibri" w:cs="Calibri"/>
          <w:shd w:val="clear" w:color="auto" w:fill="FFFFFF"/>
        </w:rPr>
        <w:t>, Gazette officielle du Québec, Partie I, vol. 35, 1998, p. 1039, ci-après « </w:t>
      </w:r>
      <w:r w:rsidR="00415D7C" w:rsidRPr="00765482">
        <w:rPr>
          <w:rStyle w:val="normaltextrun"/>
          <w:rFonts w:ascii="Calibri" w:hAnsi="Calibri" w:cs="Calibri"/>
          <w:i/>
          <w:iCs/>
          <w:shd w:val="clear" w:color="auto" w:fill="FFFFFF"/>
        </w:rPr>
        <w:t>Avis »</w:t>
      </w:r>
      <w:r w:rsidRPr="00765482">
        <w:rPr>
          <w:rFonts w:cstheme="minorHAnsi"/>
        </w:rPr>
        <w:t>.</w:t>
      </w:r>
    </w:p>
  </w:footnote>
  <w:footnote w:id="5">
    <w:p w14:paraId="3C3579D9" w14:textId="3379AC1C" w:rsidR="00933E02" w:rsidRPr="00765482" w:rsidRDefault="00933E02" w:rsidP="00A51BB0">
      <w:pPr>
        <w:pStyle w:val="Notedebasdepage"/>
        <w:rPr>
          <w:rFonts w:cstheme="minorHAnsi"/>
        </w:rPr>
      </w:pPr>
      <w:r w:rsidRPr="00765482">
        <w:rPr>
          <w:rStyle w:val="Appelnotedebasdep"/>
          <w:rFonts w:cstheme="minorHAnsi"/>
        </w:rPr>
        <w:footnoteRef/>
      </w:r>
      <w:r w:rsidRPr="00765482">
        <w:rPr>
          <w:rFonts w:cstheme="minorHAnsi"/>
        </w:rPr>
        <w:t xml:space="preserve"> </w:t>
      </w:r>
      <w:r w:rsidR="00A51BB0" w:rsidRPr="00765482">
        <w:rPr>
          <w:rFonts w:cstheme="minorHAnsi"/>
        </w:rPr>
        <w:tab/>
      </w:r>
      <w:r w:rsidR="00415D7C" w:rsidRPr="00765482">
        <w:rPr>
          <w:rStyle w:val="normaltextrun"/>
          <w:rFonts w:ascii="Calibri" w:hAnsi="Calibri" w:cs="Calibri"/>
          <w:i/>
          <w:iCs/>
          <w:shd w:val="clear" w:color="auto" w:fill="FFFFFF"/>
        </w:rPr>
        <w:t>LDO</w:t>
      </w:r>
      <w:r w:rsidR="009B1C4C">
        <w:rPr>
          <w:rStyle w:val="normaltextrun"/>
          <w:rFonts w:ascii="Calibri" w:hAnsi="Calibri" w:cs="Calibri"/>
          <w:shd w:val="clear" w:color="auto" w:fill="FFFFFF"/>
        </w:rPr>
        <w:t xml:space="preserve">, </w:t>
      </w:r>
      <w:r w:rsidR="009B1C4C" w:rsidRPr="00765482">
        <w:rPr>
          <w:rStyle w:val="normaltextrun"/>
          <w:rFonts w:ascii="Calibri" w:hAnsi="Calibri" w:cs="Calibri"/>
          <w:shd w:val="clear" w:color="auto" w:fill="FFFFFF"/>
        </w:rPr>
        <w:t>point 6.2</w:t>
      </w:r>
      <w:r w:rsidR="00415D7C" w:rsidRPr="00765482">
        <w:rPr>
          <w:rStyle w:val="normaltextrun"/>
          <w:rFonts w:ascii="Calibri" w:hAnsi="Calibri" w:cs="Calibri"/>
          <w:shd w:val="clear" w:color="auto" w:fill="FFFFFF"/>
        </w:rPr>
        <w:t>; </w:t>
      </w:r>
      <w:bookmarkStart w:id="9" w:name="_Hlk151723804"/>
      <w:r w:rsidR="009B1C4C" w:rsidRPr="009B1C4C">
        <w:rPr>
          <w:rFonts w:ascii="Calibri" w:hAnsi="Calibri" w:cs="Calibri"/>
          <w:i/>
          <w:iCs/>
        </w:rPr>
        <w:t>Cadre de référence ministériel pour la recherche avec des participants humains</w:t>
      </w:r>
      <w:r w:rsidR="009B1C4C" w:rsidRPr="00CC54FA">
        <w:rPr>
          <w:rFonts w:ascii="Calibri" w:hAnsi="Calibri" w:cs="Calibri"/>
        </w:rPr>
        <w:t xml:space="preserve">, Gouvernement du Québec, </w:t>
      </w:r>
      <w:proofErr w:type="gramStart"/>
      <w:r w:rsidR="009B1C4C" w:rsidRPr="00CC54FA">
        <w:rPr>
          <w:rFonts w:ascii="Calibri" w:hAnsi="Calibri" w:cs="Calibri"/>
        </w:rPr>
        <w:t>Ministère</w:t>
      </w:r>
      <w:proofErr w:type="gramEnd"/>
      <w:r w:rsidR="009B1C4C" w:rsidRPr="00CC54FA">
        <w:rPr>
          <w:rFonts w:ascii="Calibri" w:hAnsi="Calibri" w:cs="Calibri"/>
        </w:rPr>
        <w:t xml:space="preserve"> de la Santé et des Services sociaux, octobre 2020,</w:t>
      </w:r>
      <w:r w:rsidR="009B1C4C">
        <w:rPr>
          <w:rFonts w:ascii="Calibri" w:hAnsi="Calibri" w:cs="Calibri"/>
        </w:rPr>
        <w:t xml:space="preserve"> </w:t>
      </w:r>
      <w:r w:rsidR="00415D7C" w:rsidRPr="00765482">
        <w:rPr>
          <w:rStyle w:val="normaltextrun"/>
          <w:rFonts w:ascii="Calibri" w:hAnsi="Calibri" w:cs="Calibri"/>
          <w:shd w:val="clear" w:color="auto" w:fill="FFFFFF"/>
        </w:rPr>
        <w:t>art. 2.2.1.</w:t>
      </w:r>
      <w:bookmarkEnd w:id="9"/>
    </w:p>
  </w:footnote>
  <w:footnote w:id="6">
    <w:p w14:paraId="6A904FD9" w14:textId="0FA27149" w:rsidR="00933E02" w:rsidRPr="00765482" w:rsidRDefault="00933E02" w:rsidP="00A51BB0">
      <w:pPr>
        <w:pStyle w:val="Notedebasdepage"/>
        <w:rPr>
          <w:rFonts w:cstheme="minorHAnsi"/>
        </w:rPr>
      </w:pPr>
      <w:r w:rsidRPr="00765482">
        <w:rPr>
          <w:rStyle w:val="Appelnotedebasdep"/>
          <w:rFonts w:cstheme="minorHAnsi"/>
        </w:rPr>
        <w:footnoteRef/>
      </w:r>
      <w:r w:rsidRPr="00765482">
        <w:rPr>
          <w:rFonts w:cstheme="minorHAnsi"/>
          <w:vertAlign w:val="superscript"/>
        </w:rPr>
        <w:t xml:space="preserve"> </w:t>
      </w:r>
      <w:r w:rsidR="00A51BB0" w:rsidRPr="00765482">
        <w:rPr>
          <w:rFonts w:cstheme="minorHAnsi"/>
        </w:rPr>
        <w:tab/>
      </w:r>
      <w:r w:rsidR="00415D7C" w:rsidRPr="00765482">
        <w:rPr>
          <w:rStyle w:val="normaltextrun"/>
          <w:rFonts w:ascii="Calibri" w:hAnsi="Calibri" w:cs="Calibri"/>
          <w:i/>
          <w:iCs/>
          <w:shd w:val="clear" w:color="auto" w:fill="FFFFFF"/>
        </w:rPr>
        <w:t>Code civil du Québec</w:t>
      </w:r>
      <w:r w:rsidR="00415D7C" w:rsidRPr="00765482">
        <w:rPr>
          <w:rStyle w:val="normaltextrun"/>
          <w:rFonts w:ascii="Calibri" w:hAnsi="Calibri" w:cs="Calibri"/>
          <w:shd w:val="clear" w:color="auto" w:fill="FFFFFF"/>
        </w:rPr>
        <w:t>, art.</w:t>
      </w:r>
      <w:r w:rsidR="00415D7C" w:rsidRPr="00765482">
        <w:rPr>
          <w:rStyle w:val="normaltextrun"/>
          <w:rFonts w:ascii="Calibri" w:hAnsi="Calibri" w:cs="Calibri"/>
          <w:strike/>
          <w:shd w:val="clear" w:color="auto" w:fill="FFFFFF"/>
        </w:rPr>
        <w:t> </w:t>
      </w:r>
      <w:r w:rsidR="00415D7C" w:rsidRPr="00765482">
        <w:rPr>
          <w:rStyle w:val="normaltextrun"/>
          <w:rFonts w:ascii="Calibri" w:hAnsi="Calibri" w:cs="Calibri"/>
          <w:shd w:val="clear" w:color="auto" w:fill="FFFFFF"/>
        </w:rPr>
        <w:t> 20 et 21; </w:t>
      </w:r>
      <w:r w:rsidR="00415D7C" w:rsidRPr="00765482">
        <w:rPr>
          <w:rStyle w:val="normaltextrun"/>
          <w:rFonts w:ascii="Calibri" w:hAnsi="Calibri" w:cs="Calibri"/>
          <w:i/>
          <w:iCs/>
          <w:shd w:val="clear" w:color="auto" w:fill="FFFFFF"/>
        </w:rPr>
        <w:t>EPTC 2</w:t>
      </w:r>
      <w:r w:rsidR="00415D7C" w:rsidRPr="00765482">
        <w:rPr>
          <w:rStyle w:val="normaltextrun"/>
          <w:rFonts w:ascii="Calibri" w:hAnsi="Calibri" w:cs="Calibri"/>
          <w:shd w:val="clear" w:color="auto" w:fill="FFFFFF"/>
        </w:rPr>
        <w:t>, p. 22 à 25 et art.</w:t>
      </w:r>
      <w:r w:rsidR="00415D7C" w:rsidRPr="00765482">
        <w:rPr>
          <w:rStyle w:val="normaltextrun"/>
          <w:rFonts w:ascii="Calibri" w:hAnsi="Calibri" w:cs="Calibri"/>
          <w:strike/>
          <w:shd w:val="clear" w:color="auto" w:fill="FFFFFF"/>
        </w:rPr>
        <w:t> </w:t>
      </w:r>
      <w:r w:rsidR="00415D7C" w:rsidRPr="00765482">
        <w:rPr>
          <w:rStyle w:val="normaltextrun"/>
          <w:rFonts w:ascii="Calibri" w:hAnsi="Calibri" w:cs="Calibri"/>
          <w:shd w:val="clear" w:color="auto" w:fill="FFFFFF"/>
        </w:rPr>
        <w:t> 2.9 et 11.4a); </w:t>
      </w:r>
      <w:r w:rsidR="00415D7C" w:rsidRPr="00765482">
        <w:rPr>
          <w:rStyle w:val="normaltextrun"/>
          <w:rFonts w:ascii="Calibri" w:hAnsi="Calibri" w:cs="Calibri"/>
          <w:i/>
          <w:iCs/>
          <w:shd w:val="clear" w:color="auto" w:fill="FFFFFF"/>
        </w:rPr>
        <w:t>LDO</w:t>
      </w:r>
      <w:r w:rsidR="00415D7C" w:rsidRPr="00765482">
        <w:rPr>
          <w:rStyle w:val="normaltextrun"/>
          <w:rFonts w:ascii="Calibri" w:hAnsi="Calibri" w:cs="Calibri"/>
          <w:shd w:val="clear" w:color="auto" w:fill="FFFFFF"/>
        </w:rPr>
        <w:t>, point 6.2.1.2, </w:t>
      </w:r>
      <w:r w:rsidR="00415D7C" w:rsidRPr="00765482">
        <w:rPr>
          <w:rStyle w:val="normaltextrun"/>
          <w:rFonts w:ascii="Calibri" w:hAnsi="Calibri" w:cs="Calibri"/>
          <w:i/>
          <w:iCs/>
          <w:shd w:val="clear" w:color="auto" w:fill="FFFFFF"/>
        </w:rPr>
        <w:t>Avis</w:t>
      </w:r>
      <w:r w:rsidR="00415D7C" w:rsidRPr="00765482">
        <w:rPr>
          <w:rStyle w:val="normaltextrun"/>
          <w:rFonts w:ascii="Calibri" w:hAnsi="Calibri" w:cs="Calibri"/>
          <w:shd w:val="clear" w:color="auto" w:fill="FFFFFF"/>
        </w:rPr>
        <w:t>, p. 1039</w:t>
      </w:r>
      <w:r w:rsidRPr="00765482">
        <w:rPr>
          <w:rFonts w:cstheme="minorHAnsi"/>
        </w:rPr>
        <w:t>.</w:t>
      </w:r>
    </w:p>
  </w:footnote>
  <w:footnote w:id="7">
    <w:p w14:paraId="3D5425C1" w14:textId="4B9444F6" w:rsidR="00933E02" w:rsidRPr="00765482" w:rsidRDefault="00933E02" w:rsidP="00A51BB0">
      <w:pPr>
        <w:pStyle w:val="Notedebasdepage"/>
        <w:rPr>
          <w:rFonts w:cstheme="minorHAnsi"/>
        </w:rPr>
      </w:pPr>
      <w:r w:rsidRPr="00765482">
        <w:rPr>
          <w:rStyle w:val="Appelnotedebasdep"/>
          <w:rFonts w:cstheme="minorHAnsi"/>
        </w:rPr>
        <w:footnoteRef/>
      </w:r>
      <w:r w:rsidRPr="00765482">
        <w:rPr>
          <w:rFonts w:cstheme="minorHAnsi"/>
          <w:vertAlign w:val="superscript"/>
        </w:rPr>
        <w:t xml:space="preserve"> </w:t>
      </w:r>
      <w:r w:rsidR="00A51BB0" w:rsidRPr="00765482">
        <w:rPr>
          <w:rFonts w:cstheme="minorHAnsi"/>
        </w:rPr>
        <w:tab/>
      </w:r>
      <w:r w:rsidR="00415D7C" w:rsidRPr="00765482">
        <w:rPr>
          <w:rStyle w:val="normaltextrun"/>
          <w:rFonts w:ascii="Calibri" w:hAnsi="Calibri" w:cs="Calibri"/>
          <w:i/>
          <w:iCs/>
          <w:shd w:val="clear" w:color="auto" w:fill="FFFFFF"/>
        </w:rPr>
        <w:t>EPTC 2</w:t>
      </w:r>
      <w:r w:rsidR="00415D7C" w:rsidRPr="00765482">
        <w:rPr>
          <w:rStyle w:val="normaltextrun"/>
          <w:rFonts w:ascii="Calibri" w:hAnsi="Calibri" w:cs="Calibri"/>
          <w:shd w:val="clear" w:color="auto" w:fill="FFFFFF"/>
        </w:rPr>
        <w:t>, art. 4.1; </w:t>
      </w:r>
      <w:r w:rsidR="00415D7C" w:rsidRPr="00765482">
        <w:rPr>
          <w:rStyle w:val="normaltextrun"/>
          <w:rFonts w:ascii="Calibri" w:hAnsi="Calibri" w:cs="Calibri"/>
          <w:i/>
          <w:iCs/>
          <w:shd w:val="clear" w:color="auto" w:fill="FFFFFF"/>
        </w:rPr>
        <w:t>LDO</w:t>
      </w:r>
      <w:r w:rsidR="00415D7C" w:rsidRPr="00765482">
        <w:rPr>
          <w:rStyle w:val="normaltextrun"/>
          <w:rFonts w:ascii="Calibri" w:hAnsi="Calibri" w:cs="Calibri"/>
          <w:shd w:val="clear" w:color="auto" w:fill="FFFFFF"/>
        </w:rPr>
        <w:t>, point</w:t>
      </w:r>
      <w:r w:rsidR="00415D7C" w:rsidRPr="00765482">
        <w:rPr>
          <w:rStyle w:val="normaltextrun"/>
          <w:rFonts w:ascii="Calibri" w:hAnsi="Calibri" w:cs="Calibri"/>
          <w:strike/>
          <w:shd w:val="clear" w:color="auto" w:fill="FFFFFF"/>
        </w:rPr>
        <w:t> </w:t>
      </w:r>
      <w:r w:rsidR="00415D7C" w:rsidRPr="00765482">
        <w:rPr>
          <w:rStyle w:val="normaltextrun"/>
          <w:rFonts w:ascii="Calibri" w:hAnsi="Calibri" w:cs="Calibri"/>
          <w:shd w:val="clear" w:color="auto" w:fill="FFFFFF"/>
        </w:rPr>
        <w:t> 2 et 6.2.2.4;</w:t>
      </w:r>
      <w:r w:rsidR="00415D7C" w:rsidRPr="00765482">
        <w:rPr>
          <w:rStyle w:val="normaltextrun"/>
          <w:rFonts w:ascii="Calibri" w:hAnsi="Calibri" w:cs="Calibri"/>
          <w:strike/>
          <w:shd w:val="clear" w:color="auto" w:fill="FFFFFF"/>
        </w:rPr>
        <w:t> </w:t>
      </w:r>
      <w:r w:rsidR="00415D7C" w:rsidRPr="00765482">
        <w:rPr>
          <w:rStyle w:val="normaltextrun"/>
          <w:rFonts w:ascii="Calibri" w:hAnsi="Calibri" w:cs="Calibri"/>
          <w:i/>
          <w:iCs/>
          <w:shd w:val="clear" w:color="auto" w:fill="FFFFFF"/>
        </w:rPr>
        <w:t>Avis</w:t>
      </w:r>
      <w:r w:rsidR="00415D7C" w:rsidRPr="00765482">
        <w:rPr>
          <w:rStyle w:val="normaltextrun"/>
          <w:rFonts w:ascii="Calibri" w:hAnsi="Calibri" w:cs="Calibri"/>
          <w:shd w:val="clear" w:color="auto" w:fill="FFFFFF"/>
        </w:rPr>
        <w:t>, p. 1039.</w:t>
      </w:r>
      <w:r w:rsidR="00415D7C" w:rsidRPr="00765482">
        <w:rPr>
          <w:rStyle w:val="eop"/>
          <w:rFonts w:ascii="Calibri" w:hAnsi="Calibri" w:cs="Calibri"/>
          <w:shd w:val="clear" w:color="auto" w:fill="FFFFFF"/>
        </w:rPr>
        <w:t> </w:t>
      </w:r>
    </w:p>
  </w:footnote>
  <w:footnote w:id="8">
    <w:p w14:paraId="6039227F" w14:textId="7F76C893" w:rsidR="00933E02" w:rsidRPr="00765482" w:rsidRDefault="00933E02" w:rsidP="00A51BB0">
      <w:pPr>
        <w:pStyle w:val="Notedebasdepage"/>
        <w:rPr>
          <w:rFonts w:cstheme="minorHAnsi"/>
        </w:rPr>
      </w:pPr>
      <w:r w:rsidRPr="00765482">
        <w:rPr>
          <w:rStyle w:val="Appelnotedebasdep"/>
          <w:rFonts w:cstheme="minorHAnsi"/>
        </w:rPr>
        <w:footnoteRef/>
      </w:r>
      <w:r w:rsidRPr="00765482">
        <w:rPr>
          <w:rFonts w:cstheme="minorHAnsi"/>
          <w:vertAlign w:val="superscript"/>
        </w:rPr>
        <w:t xml:space="preserve"> </w:t>
      </w:r>
      <w:r w:rsidR="00A51BB0" w:rsidRPr="00765482">
        <w:rPr>
          <w:rFonts w:cstheme="minorHAnsi"/>
        </w:rPr>
        <w:tab/>
      </w:r>
      <w:r w:rsidRPr="00765482">
        <w:rPr>
          <w:rFonts w:cstheme="minorHAnsi"/>
          <w:i/>
        </w:rPr>
        <w:t>EPTC2</w:t>
      </w:r>
      <w:r w:rsidRPr="00765482">
        <w:rPr>
          <w:rFonts w:cstheme="minorHAnsi"/>
        </w:rPr>
        <w:t>, art.4.1.</w:t>
      </w:r>
    </w:p>
  </w:footnote>
  <w:footnote w:id="9">
    <w:p w14:paraId="4B47EA4D" w14:textId="5BF55DCA" w:rsidR="00933E02" w:rsidRPr="005D3AB3" w:rsidRDefault="00933E02" w:rsidP="00A51BB0">
      <w:pPr>
        <w:pStyle w:val="Notedebasdepage"/>
        <w:rPr>
          <w:rFonts w:cstheme="minorHAnsi"/>
        </w:rPr>
      </w:pPr>
      <w:r w:rsidRPr="00765482">
        <w:rPr>
          <w:rStyle w:val="Appelnotedebasdep"/>
          <w:rFonts w:cstheme="minorHAnsi"/>
        </w:rPr>
        <w:footnoteRef/>
      </w:r>
      <w:r w:rsidRPr="00765482">
        <w:rPr>
          <w:rFonts w:cstheme="minorHAnsi"/>
          <w:vertAlign w:val="superscript"/>
        </w:rPr>
        <w:t xml:space="preserve"> </w:t>
      </w:r>
      <w:r w:rsidR="00A51BB0" w:rsidRPr="00765482">
        <w:rPr>
          <w:rFonts w:cstheme="minorHAnsi"/>
        </w:rPr>
        <w:tab/>
      </w:r>
      <w:r w:rsidRPr="00765482">
        <w:rPr>
          <w:rFonts w:cstheme="minorHAnsi"/>
        </w:rPr>
        <w:t xml:space="preserve">Le Code civil du Québec prévoit que la participation d’une personne à une recherche susceptible de porter atteinte à son intégrité ne peut donner lieu à aucune contrepartie financière, hormis le versement d’une indemnité en compensation des pertes et des contraintes subies. Voir : </w:t>
      </w:r>
      <w:r w:rsidRPr="00765482">
        <w:rPr>
          <w:rFonts w:cstheme="minorHAnsi"/>
          <w:i/>
        </w:rPr>
        <w:t>Code civil du Québec</w:t>
      </w:r>
      <w:r w:rsidRPr="00765482">
        <w:rPr>
          <w:rFonts w:cstheme="minorHAnsi"/>
        </w:rPr>
        <w:t>, art. 25</w:t>
      </w:r>
      <w:r w:rsidR="0008733A" w:rsidRPr="00765482">
        <w:rPr>
          <w:rFonts w:cstheme="minorHAnsi"/>
        </w:rPr>
        <w:t>,</w:t>
      </w:r>
      <w:r w:rsidRPr="00765482">
        <w:rPr>
          <w:rFonts w:cstheme="minorHAnsi"/>
        </w:rPr>
        <w:t xml:space="preserve"> al. 2. Voir également </w:t>
      </w:r>
      <w:r w:rsidR="00415D7C" w:rsidRPr="00765482">
        <w:rPr>
          <w:rStyle w:val="normaltextrun"/>
          <w:rFonts w:ascii="Calibri" w:hAnsi="Calibri" w:cs="Calibri"/>
          <w:i/>
          <w:iCs/>
          <w:shd w:val="clear" w:color="auto" w:fill="FFFFFF"/>
        </w:rPr>
        <w:t>EPTC 2</w:t>
      </w:r>
      <w:r w:rsidR="00415D7C" w:rsidRPr="00765482">
        <w:rPr>
          <w:rStyle w:val="normaltextrun"/>
          <w:rFonts w:ascii="Calibri" w:hAnsi="Calibri" w:cs="Calibri"/>
          <w:shd w:val="clear" w:color="auto" w:fill="FFFFFF"/>
        </w:rPr>
        <w:t>, application sous l’article 3.1; </w:t>
      </w:r>
      <w:r w:rsidR="000C08A4">
        <w:rPr>
          <w:rStyle w:val="normaltextrun"/>
          <w:rFonts w:ascii="Calibri" w:hAnsi="Calibri" w:cs="Calibri"/>
          <w:i/>
          <w:iCs/>
          <w:shd w:val="clear" w:color="auto" w:fill="FFFFFF"/>
        </w:rPr>
        <w:t>BPC</w:t>
      </w:r>
      <w:r w:rsidR="00415D7C" w:rsidRPr="00765482">
        <w:rPr>
          <w:rStyle w:val="normaltextrun"/>
          <w:rFonts w:ascii="Calibri" w:hAnsi="Calibri" w:cs="Calibri"/>
          <w:shd w:val="clear" w:color="auto" w:fill="FFFFFF"/>
        </w:rPr>
        <w:t>, section 3.1.8; </w:t>
      </w:r>
      <w:r w:rsidR="00415D7C" w:rsidRPr="00765482">
        <w:rPr>
          <w:rStyle w:val="normaltextrun"/>
          <w:rFonts w:ascii="Calibri" w:hAnsi="Calibri" w:cs="Calibri"/>
          <w:i/>
          <w:iCs/>
          <w:shd w:val="clear" w:color="auto" w:fill="FFFFFF"/>
        </w:rPr>
        <w:t>LDO</w:t>
      </w:r>
      <w:r w:rsidR="00415D7C" w:rsidRPr="00765482">
        <w:rPr>
          <w:rStyle w:val="normaltextrun"/>
          <w:rFonts w:ascii="Calibri" w:hAnsi="Calibri" w:cs="Calibri"/>
          <w:shd w:val="clear" w:color="auto" w:fill="FFFFFF"/>
        </w:rPr>
        <w:t>, 5.3.12, 5.3.13 et 6.2.3.10.</w:t>
      </w:r>
      <w:r w:rsidR="00415D7C" w:rsidRPr="00765482">
        <w:rPr>
          <w:rStyle w:val="eop"/>
          <w:rFonts w:ascii="Calibri" w:hAnsi="Calibri" w:cs="Calibri"/>
          <w:shd w:val="clear" w:color="auto" w:fill="FFFFFF"/>
        </w:rPr>
        <w:t> </w:t>
      </w:r>
    </w:p>
  </w:footnote>
  <w:footnote w:id="10">
    <w:p w14:paraId="20F46703" w14:textId="5D5C2894" w:rsidR="00933E02" w:rsidRPr="005D3AB3" w:rsidRDefault="00933E02" w:rsidP="00A51BB0">
      <w:pPr>
        <w:pStyle w:val="Notedebasdepage"/>
        <w:rPr>
          <w:rFonts w:cstheme="minorHAnsi"/>
        </w:rPr>
      </w:pPr>
      <w:r w:rsidRPr="005D3AB3">
        <w:rPr>
          <w:rStyle w:val="Appelnotedebasdep"/>
          <w:rFonts w:cstheme="minorHAnsi"/>
        </w:rPr>
        <w:footnoteRef/>
      </w:r>
      <w:r w:rsidRPr="005D3AB3">
        <w:rPr>
          <w:rFonts w:cstheme="minorHAnsi"/>
          <w:vertAlign w:val="superscript"/>
        </w:rPr>
        <w:t xml:space="preserve"> </w:t>
      </w:r>
      <w:r w:rsidR="00A51BB0" w:rsidRPr="005D3AB3">
        <w:rPr>
          <w:rFonts w:cstheme="minorHAnsi"/>
        </w:rPr>
        <w:tab/>
      </w:r>
      <w:r w:rsidRPr="00AB7FF1">
        <w:rPr>
          <w:rFonts w:cstheme="minorHAnsi"/>
          <w:i/>
        </w:rPr>
        <w:t>BPC</w:t>
      </w:r>
      <w:r w:rsidRPr="005D3AB3">
        <w:rPr>
          <w:rFonts w:cstheme="minorHAnsi"/>
        </w:rPr>
        <w:t>, sect.</w:t>
      </w:r>
      <w:r w:rsidR="0008733A" w:rsidRPr="005D3AB3">
        <w:rPr>
          <w:rFonts w:cstheme="minorHAnsi"/>
        </w:rPr>
        <w:t> </w:t>
      </w:r>
      <w:r w:rsidRPr="005D3AB3">
        <w:rPr>
          <w:rFonts w:cstheme="minorHAnsi"/>
        </w:rPr>
        <w:t>3.1.9.</w:t>
      </w:r>
    </w:p>
  </w:footnote>
  <w:footnote w:id="11">
    <w:p w14:paraId="0F79AB71" w14:textId="217AA27B" w:rsidR="00933E02" w:rsidRPr="005D3AB3" w:rsidRDefault="00933E02" w:rsidP="00A51BB0">
      <w:pPr>
        <w:pStyle w:val="Notedebasdepage"/>
        <w:rPr>
          <w:rFonts w:cstheme="minorHAnsi"/>
        </w:rPr>
      </w:pPr>
      <w:r w:rsidRPr="005D3AB3">
        <w:rPr>
          <w:rStyle w:val="Appelnotedebasdep"/>
          <w:rFonts w:cstheme="minorHAnsi"/>
        </w:rPr>
        <w:footnoteRef/>
      </w:r>
      <w:r w:rsidRPr="005D3AB3">
        <w:rPr>
          <w:rFonts w:cstheme="minorHAnsi"/>
          <w:vertAlign w:val="superscript"/>
        </w:rPr>
        <w:t xml:space="preserve"> </w:t>
      </w:r>
      <w:r w:rsidR="00A51BB0" w:rsidRPr="005D3AB3">
        <w:rPr>
          <w:rFonts w:cstheme="minorHAnsi"/>
        </w:rPr>
        <w:tab/>
      </w:r>
      <w:r w:rsidRPr="005D3AB3">
        <w:rPr>
          <w:rFonts w:cstheme="minorHAnsi"/>
          <w:i/>
        </w:rPr>
        <w:t>Code civil du Québec</w:t>
      </w:r>
      <w:r w:rsidRPr="005D3AB3">
        <w:rPr>
          <w:rFonts w:cstheme="minorHAnsi"/>
        </w:rPr>
        <w:t xml:space="preserve">, art. 24; </w:t>
      </w:r>
      <w:r w:rsidRPr="005D3AB3">
        <w:rPr>
          <w:rFonts w:cstheme="minorHAnsi"/>
          <w:i/>
        </w:rPr>
        <w:t>EPTC2</w:t>
      </w:r>
      <w:r w:rsidRPr="005D3AB3">
        <w:rPr>
          <w:rFonts w:cstheme="minorHAnsi"/>
        </w:rPr>
        <w:t>, art. 3.12.</w:t>
      </w:r>
    </w:p>
  </w:footnote>
  <w:footnote w:id="12">
    <w:p w14:paraId="49B2BBE8" w14:textId="0FBE3484" w:rsidR="00933E02" w:rsidRPr="005D3AB3" w:rsidRDefault="00933E02" w:rsidP="00A51BB0">
      <w:pPr>
        <w:pStyle w:val="Notedebasdepage"/>
        <w:rPr>
          <w:rFonts w:cstheme="minorHAnsi"/>
        </w:rPr>
      </w:pPr>
      <w:r w:rsidRPr="005D3AB3">
        <w:rPr>
          <w:rStyle w:val="Appelnotedebasdep"/>
          <w:rFonts w:cstheme="minorHAnsi"/>
        </w:rPr>
        <w:footnoteRef/>
      </w:r>
      <w:r w:rsidRPr="005D3AB3">
        <w:rPr>
          <w:rFonts w:cstheme="minorHAnsi"/>
          <w:vertAlign w:val="superscript"/>
        </w:rPr>
        <w:t xml:space="preserve"> </w:t>
      </w:r>
      <w:r w:rsidR="00A51BB0" w:rsidRPr="005D3AB3">
        <w:rPr>
          <w:rFonts w:cstheme="minorHAnsi"/>
        </w:rPr>
        <w:tab/>
      </w:r>
      <w:r w:rsidR="00415D7C" w:rsidRPr="00765482">
        <w:rPr>
          <w:rStyle w:val="normaltextrun"/>
          <w:rFonts w:ascii="Calibri" w:hAnsi="Calibri" w:cs="Calibri"/>
          <w:i/>
          <w:iCs/>
          <w:shd w:val="clear" w:color="auto" w:fill="FFFFFF"/>
        </w:rPr>
        <w:t>EPTC 2</w:t>
      </w:r>
      <w:r w:rsidR="00415D7C" w:rsidRPr="00765482">
        <w:rPr>
          <w:rStyle w:val="normaltextrun"/>
          <w:rFonts w:ascii="Calibri" w:hAnsi="Calibri" w:cs="Calibri"/>
          <w:shd w:val="clear" w:color="auto" w:fill="FFFFFF"/>
        </w:rPr>
        <w:t>, application sous les art. 11.6 et 11.7</w:t>
      </w:r>
      <w:r w:rsidRPr="00765482">
        <w:rPr>
          <w:rFonts w:cstheme="minorHAnsi"/>
        </w:rPr>
        <w:t>;</w:t>
      </w:r>
      <w:r w:rsidRPr="00A644F1">
        <w:rPr>
          <w:rFonts w:cstheme="minorHAnsi"/>
        </w:rPr>
        <w:t xml:space="preserve"> </w:t>
      </w:r>
      <w:r w:rsidRPr="00A644F1">
        <w:rPr>
          <w:rFonts w:cstheme="minorHAnsi"/>
          <w:i/>
        </w:rPr>
        <w:t>LDO</w:t>
      </w:r>
      <w:r w:rsidRPr="00A644F1">
        <w:rPr>
          <w:rFonts w:cstheme="minorHAnsi"/>
        </w:rPr>
        <w:t>, point</w:t>
      </w:r>
      <w:r w:rsidR="0008733A" w:rsidRPr="00A644F1">
        <w:rPr>
          <w:rFonts w:cstheme="minorHAnsi"/>
        </w:rPr>
        <w:t> </w:t>
      </w:r>
      <w:r w:rsidRPr="00A644F1">
        <w:rPr>
          <w:rFonts w:cstheme="minorHAnsi"/>
        </w:rPr>
        <w:t>6.2.1.6.</w:t>
      </w:r>
    </w:p>
  </w:footnote>
  <w:footnote w:id="13">
    <w:p w14:paraId="68DF9369" w14:textId="4F09AE55" w:rsidR="00933E02" w:rsidRPr="00A51BB0" w:rsidRDefault="00933E02" w:rsidP="00A51BB0">
      <w:pPr>
        <w:pStyle w:val="Notedebasdepage"/>
      </w:pPr>
      <w:r w:rsidRPr="005D3AB3">
        <w:rPr>
          <w:rStyle w:val="Appelnotedebasdep"/>
          <w:rFonts w:cstheme="minorHAnsi"/>
        </w:rPr>
        <w:footnoteRef/>
      </w:r>
      <w:r w:rsidRPr="005D3AB3">
        <w:rPr>
          <w:rFonts w:cstheme="minorHAnsi"/>
        </w:rPr>
        <w:t xml:space="preserve"> </w:t>
      </w:r>
      <w:r w:rsidR="00A51BB0" w:rsidRPr="005D3AB3">
        <w:rPr>
          <w:rFonts w:cstheme="minorHAnsi"/>
        </w:rPr>
        <w:tab/>
      </w:r>
      <w:r w:rsidRPr="005D3AB3">
        <w:rPr>
          <w:rFonts w:cstheme="minorHAnsi"/>
          <w:i/>
        </w:rPr>
        <w:t>EPTC2</w:t>
      </w:r>
      <w:r w:rsidRPr="005D3AB3">
        <w:rPr>
          <w:rFonts w:cstheme="minorHAnsi"/>
        </w:rPr>
        <w:t xml:space="preserve">, art. 5.1 à 5.3; </w:t>
      </w:r>
      <w:r w:rsidRPr="005D3AB3">
        <w:rPr>
          <w:rFonts w:cstheme="minorHAnsi"/>
          <w:i/>
        </w:rPr>
        <w:t>Charte des droits et libertés de la personne</w:t>
      </w:r>
      <w:r w:rsidRPr="005D3AB3">
        <w:rPr>
          <w:rFonts w:cstheme="minorHAnsi"/>
        </w:rPr>
        <w:t xml:space="preserve">, RLRQ c. C-12, art. 5; </w:t>
      </w:r>
      <w:r w:rsidRPr="005D3AB3">
        <w:rPr>
          <w:rFonts w:cstheme="minorHAnsi"/>
          <w:i/>
        </w:rPr>
        <w:t>Code civil du Québec</w:t>
      </w:r>
      <w:r w:rsidRPr="005D3AB3">
        <w:rPr>
          <w:rFonts w:cstheme="minorHAnsi"/>
        </w:rPr>
        <w:t xml:space="preserve">, art. 3 et 35 à 37; </w:t>
      </w:r>
      <w:r w:rsidRPr="005D3AB3">
        <w:rPr>
          <w:rFonts w:cstheme="minorHAnsi"/>
          <w:i/>
        </w:rPr>
        <w:t>Loi sur les services de santé et les services sociaux</w:t>
      </w:r>
      <w:r w:rsidRPr="005D3AB3">
        <w:rPr>
          <w:rFonts w:cstheme="minorHAnsi"/>
        </w:rPr>
        <w:t xml:space="preserve">, art. 19; </w:t>
      </w:r>
      <w:r w:rsidRPr="005D3AB3">
        <w:rPr>
          <w:rFonts w:cstheme="minorHAnsi"/>
          <w:i/>
        </w:rPr>
        <w:t>Loi sur l’accès aux documents des organismes publics et sur la protection des renseignements personnels</w:t>
      </w:r>
      <w:r w:rsidRPr="005D3AB3">
        <w:rPr>
          <w:rFonts w:cstheme="minorHAnsi"/>
        </w:rPr>
        <w:t xml:space="preserve">, RLRQ c. A-2.1, art. 53; </w:t>
      </w:r>
      <w:r w:rsidRPr="005D3AB3">
        <w:rPr>
          <w:rFonts w:cstheme="minorHAnsi"/>
          <w:i/>
        </w:rPr>
        <w:t>LDO</w:t>
      </w:r>
      <w:r w:rsidRPr="005D3AB3">
        <w:rPr>
          <w:rFonts w:cstheme="minorHAnsi"/>
        </w:rPr>
        <w:t>, point</w:t>
      </w:r>
      <w:r w:rsidR="0008733A" w:rsidRPr="005D3AB3">
        <w:rPr>
          <w:rFonts w:cstheme="minorHAnsi"/>
        </w:rPr>
        <w:t> </w:t>
      </w:r>
      <w:r w:rsidRPr="005D3AB3">
        <w:rPr>
          <w:rFonts w:cstheme="minorHAnsi"/>
        </w:rPr>
        <w:t xml:space="preserve">6.2.4; </w:t>
      </w:r>
      <w:r w:rsidRPr="005D3AB3">
        <w:rPr>
          <w:rFonts w:cstheme="minorHAnsi"/>
          <w:i/>
        </w:rPr>
        <w:t>Avis</w:t>
      </w:r>
      <w:r w:rsidRPr="005D3AB3">
        <w:rPr>
          <w:rFonts w:cstheme="minorHAnsi"/>
        </w:rPr>
        <w:t>, p.</w:t>
      </w:r>
      <w:r w:rsidR="00A51BB0" w:rsidRPr="005D3AB3">
        <w:rPr>
          <w:rFonts w:cstheme="minorHAnsi"/>
        </w:rPr>
        <w:t> </w:t>
      </w:r>
      <w:r w:rsidRPr="005D3AB3">
        <w:rPr>
          <w:rFonts w:cstheme="minorHAnsi"/>
        </w:rPr>
        <w:t>1039;</w:t>
      </w:r>
      <w:r w:rsidRPr="00A51BB0">
        <w:t>.</w:t>
      </w:r>
    </w:p>
  </w:footnote>
  <w:footnote w:id="14">
    <w:p w14:paraId="64272511" w14:textId="49276AE9" w:rsidR="00933E02" w:rsidRPr="00AB7FF1" w:rsidRDefault="00933E02" w:rsidP="00B1160C">
      <w:pPr>
        <w:pStyle w:val="Notedebasdepage"/>
        <w:rPr>
          <w:rFonts w:cstheme="minorHAnsi"/>
        </w:rPr>
      </w:pPr>
      <w:r w:rsidRPr="00AB7FF1">
        <w:rPr>
          <w:rStyle w:val="Appelnotedebasdep"/>
          <w:rFonts w:cstheme="minorHAnsi"/>
        </w:rPr>
        <w:footnoteRef/>
      </w:r>
      <w:r w:rsidRPr="00AB7FF1">
        <w:rPr>
          <w:rFonts w:cstheme="minorHAnsi"/>
          <w:vertAlign w:val="superscript"/>
        </w:rPr>
        <w:t xml:space="preserve"> </w:t>
      </w:r>
      <w:r w:rsidR="00B1160C" w:rsidRPr="00AB7FF1">
        <w:rPr>
          <w:rFonts w:cstheme="minorHAnsi"/>
        </w:rPr>
        <w:tab/>
      </w:r>
      <w:r w:rsidRPr="00AB7FF1">
        <w:rPr>
          <w:rFonts w:cstheme="minorHAnsi"/>
          <w:i/>
        </w:rPr>
        <w:t>LDO</w:t>
      </w:r>
      <w:r w:rsidRPr="00AB7FF1">
        <w:rPr>
          <w:rFonts w:cstheme="minorHAnsi"/>
        </w:rPr>
        <w:t>, point</w:t>
      </w:r>
      <w:r w:rsidR="0008733A" w:rsidRPr="00AB7FF1">
        <w:rPr>
          <w:rFonts w:cstheme="minorHAnsi"/>
        </w:rPr>
        <w:t> </w:t>
      </w:r>
      <w:r w:rsidRPr="00AB7FF1">
        <w:rPr>
          <w:rFonts w:cstheme="minorHAnsi"/>
        </w:rPr>
        <w:t>6.2.3.6 et 6.2.3.8.</w:t>
      </w:r>
    </w:p>
  </w:footnote>
  <w:footnote w:id="15">
    <w:p w14:paraId="4CC5FC07" w14:textId="3386408C" w:rsidR="00933E02" w:rsidRPr="00AB7FF1" w:rsidRDefault="00933E02" w:rsidP="00B1160C">
      <w:pPr>
        <w:pStyle w:val="Notedebasdepage"/>
        <w:rPr>
          <w:rFonts w:cstheme="minorHAnsi"/>
        </w:rPr>
      </w:pPr>
      <w:r w:rsidRPr="00AB7FF1">
        <w:rPr>
          <w:rStyle w:val="Appelnotedebasdep"/>
          <w:rFonts w:cstheme="minorHAnsi"/>
        </w:rPr>
        <w:footnoteRef/>
      </w:r>
      <w:r w:rsidRPr="00AB7FF1">
        <w:rPr>
          <w:rFonts w:cstheme="minorHAnsi"/>
        </w:rPr>
        <w:t xml:space="preserve"> </w:t>
      </w:r>
      <w:r w:rsidR="00B1160C" w:rsidRPr="00AB7FF1">
        <w:rPr>
          <w:rFonts w:cstheme="minorHAnsi"/>
        </w:rPr>
        <w:tab/>
      </w:r>
      <w:r w:rsidRPr="00AB7FF1">
        <w:rPr>
          <w:rFonts w:cstheme="minorHAnsi"/>
          <w:i/>
        </w:rPr>
        <w:t>EPTC2</w:t>
      </w:r>
      <w:r w:rsidRPr="00AB7FF1">
        <w:rPr>
          <w:rFonts w:cstheme="minorHAnsi"/>
        </w:rPr>
        <w:t xml:space="preserve">, art. 11.12; </w:t>
      </w:r>
      <w:r w:rsidRPr="00AB7FF1">
        <w:rPr>
          <w:rFonts w:cstheme="minorHAnsi"/>
          <w:i/>
        </w:rPr>
        <w:t>LDO</w:t>
      </w:r>
      <w:r w:rsidRPr="00AB7FF1">
        <w:rPr>
          <w:rFonts w:cstheme="minorHAnsi"/>
        </w:rPr>
        <w:t>, point</w:t>
      </w:r>
      <w:r w:rsidR="0008733A" w:rsidRPr="00AB7FF1">
        <w:rPr>
          <w:rFonts w:cstheme="minorHAnsi"/>
        </w:rPr>
        <w:t> </w:t>
      </w:r>
      <w:r w:rsidRPr="00AB7FF1">
        <w:rPr>
          <w:rFonts w:cstheme="minorHAnsi"/>
        </w:rPr>
        <w:t>6.2.1.8.</w:t>
      </w:r>
    </w:p>
  </w:footnote>
  <w:footnote w:id="16">
    <w:p w14:paraId="6262863C" w14:textId="4171CB5F" w:rsidR="00933E02" w:rsidRPr="00AB7FF1" w:rsidRDefault="00933E02" w:rsidP="00B1160C">
      <w:pPr>
        <w:pStyle w:val="Notedebasdepage"/>
        <w:rPr>
          <w:rFonts w:cstheme="minorHAnsi"/>
        </w:rPr>
      </w:pPr>
      <w:r w:rsidRPr="00AB7FF1">
        <w:rPr>
          <w:rStyle w:val="Appelnotedebasdep"/>
          <w:rFonts w:cstheme="minorHAnsi"/>
        </w:rPr>
        <w:footnoteRef/>
      </w:r>
      <w:r w:rsidRPr="00AB7FF1">
        <w:rPr>
          <w:rFonts w:cstheme="minorHAnsi"/>
        </w:rPr>
        <w:t xml:space="preserve"> </w:t>
      </w:r>
      <w:r w:rsidR="00B1160C" w:rsidRPr="00AB7FF1">
        <w:rPr>
          <w:rFonts w:cstheme="minorHAnsi"/>
        </w:rPr>
        <w:tab/>
      </w:r>
      <w:r w:rsidRPr="00AB7FF1">
        <w:rPr>
          <w:rFonts w:cstheme="minorHAnsi"/>
          <w:i/>
        </w:rPr>
        <w:t>EPTC2</w:t>
      </w:r>
      <w:r w:rsidRPr="00AB7FF1">
        <w:rPr>
          <w:rFonts w:cstheme="minorHAnsi"/>
        </w:rPr>
        <w:t>, art. 11.</w:t>
      </w:r>
      <w:r w:rsidR="007B2A6C">
        <w:rPr>
          <w:rFonts w:cstheme="minorHAnsi"/>
        </w:rPr>
        <w:t>10</w:t>
      </w:r>
      <w:r w:rsidRPr="00AB7FF1">
        <w:rPr>
          <w:rFonts w:cstheme="minorHAnsi"/>
        </w:rPr>
        <w:t>.</w:t>
      </w:r>
    </w:p>
  </w:footnote>
  <w:footnote w:id="17">
    <w:p w14:paraId="0B3F7FBE" w14:textId="7946FF80" w:rsidR="00B1160C" w:rsidRPr="00AB7FF1" w:rsidRDefault="00B1160C" w:rsidP="00B1160C">
      <w:pPr>
        <w:pStyle w:val="Notedebasdepage"/>
        <w:rPr>
          <w:rFonts w:cstheme="minorHAnsi"/>
        </w:rPr>
      </w:pPr>
      <w:r w:rsidRPr="00AB7FF1">
        <w:rPr>
          <w:rStyle w:val="Appelnotedebasdep"/>
          <w:rFonts w:cstheme="minorHAnsi"/>
        </w:rPr>
        <w:footnoteRef/>
      </w:r>
      <w:r w:rsidRPr="00AB7FF1">
        <w:rPr>
          <w:rFonts w:cstheme="minorHAnsi"/>
        </w:rPr>
        <w:t xml:space="preserve"> </w:t>
      </w:r>
      <w:r w:rsidRPr="00AB7FF1">
        <w:rPr>
          <w:rFonts w:cstheme="minorHAnsi"/>
        </w:rPr>
        <w:tab/>
      </w:r>
      <w:r w:rsidRPr="00AB7FF1">
        <w:rPr>
          <w:rFonts w:cstheme="minorHAnsi"/>
          <w:i/>
        </w:rPr>
        <w:t>Loi sur les services de santé et les services sociaux</w:t>
      </w:r>
      <w:r w:rsidRPr="00AB7FF1">
        <w:rPr>
          <w:rFonts w:cstheme="minorHAnsi"/>
        </w:rPr>
        <w:t>, art. 19.2.</w:t>
      </w:r>
    </w:p>
  </w:footnote>
  <w:footnote w:id="18">
    <w:p w14:paraId="1E145712" w14:textId="71E13592" w:rsidR="00B1160C" w:rsidRPr="00AB7FF1" w:rsidRDefault="00B1160C" w:rsidP="00B1160C">
      <w:pPr>
        <w:pStyle w:val="Notedebasdepage"/>
        <w:rPr>
          <w:rFonts w:cstheme="minorHAnsi"/>
        </w:rPr>
      </w:pPr>
      <w:r w:rsidRPr="00AB7FF1">
        <w:rPr>
          <w:rStyle w:val="Appelnotedebasdep"/>
          <w:rFonts w:cstheme="minorHAnsi"/>
        </w:rPr>
        <w:footnoteRef/>
      </w:r>
      <w:r w:rsidRPr="00AB7FF1">
        <w:rPr>
          <w:rFonts w:cstheme="minorHAnsi"/>
        </w:rPr>
        <w:t xml:space="preserve"> </w:t>
      </w:r>
      <w:r w:rsidRPr="00AB7FF1">
        <w:rPr>
          <w:rFonts w:cstheme="minorHAnsi"/>
        </w:rPr>
        <w:tab/>
      </w:r>
      <w:r w:rsidRPr="00AB7FF1">
        <w:rPr>
          <w:rFonts w:cstheme="minorHAnsi"/>
          <w:i/>
        </w:rPr>
        <w:t>BPC</w:t>
      </w:r>
      <w:r w:rsidRPr="00AB7FF1">
        <w:rPr>
          <w:rFonts w:cstheme="minorHAnsi"/>
        </w:rPr>
        <w:t>, sect.</w:t>
      </w:r>
      <w:r w:rsidR="0008733A" w:rsidRPr="00AB7FF1">
        <w:rPr>
          <w:rFonts w:cstheme="minorHAnsi"/>
        </w:rPr>
        <w:t> </w:t>
      </w:r>
      <w:r w:rsidRPr="00AB7FF1">
        <w:rPr>
          <w:rFonts w:cstheme="minorHAnsi"/>
        </w:rPr>
        <w:t xml:space="preserve">3.1.4; </w:t>
      </w:r>
      <w:r w:rsidRPr="00AB7FF1">
        <w:rPr>
          <w:rFonts w:cstheme="minorHAnsi"/>
          <w:i/>
        </w:rPr>
        <w:t>Modèle</w:t>
      </w:r>
      <w:r w:rsidRPr="00AB7FF1">
        <w:rPr>
          <w:rFonts w:cstheme="minorHAnsi"/>
        </w:rPr>
        <w:t>, sect.</w:t>
      </w:r>
      <w:r w:rsidR="0008733A" w:rsidRPr="00AB7FF1">
        <w:rPr>
          <w:rFonts w:cstheme="minorHAnsi"/>
        </w:rPr>
        <w:t> </w:t>
      </w:r>
      <w:r w:rsidRPr="00AB7FF1">
        <w:rPr>
          <w:rFonts w:cstheme="minorHAnsi"/>
        </w:rPr>
        <w:t xml:space="preserve">11; </w:t>
      </w:r>
      <w:r w:rsidRPr="00AB7FF1">
        <w:rPr>
          <w:rFonts w:cstheme="minorHAnsi"/>
          <w:i/>
        </w:rPr>
        <w:t>EPTC2</w:t>
      </w:r>
      <w:r w:rsidRPr="00AB7FF1">
        <w:rPr>
          <w:rFonts w:cstheme="minorHAnsi"/>
        </w:rPr>
        <w:t>, p.</w:t>
      </w:r>
      <w:r w:rsidR="0008733A" w:rsidRPr="00AB7FF1">
        <w:rPr>
          <w:rFonts w:cstheme="minorHAnsi"/>
        </w:rPr>
        <w:t> </w:t>
      </w:r>
      <w:r w:rsidRPr="00AB7FF1">
        <w:rPr>
          <w:rFonts w:cstheme="minorHAnsi"/>
        </w:rPr>
        <w:t xml:space="preserve">90; </w:t>
      </w:r>
      <w:r w:rsidRPr="00AB7FF1">
        <w:rPr>
          <w:rFonts w:cstheme="minorHAnsi"/>
          <w:i/>
        </w:rPr>
        <w:t>LDO</w:t>
      </w:r>
      <w:r w:rsidRPr="00AB7FF1">
        <w:rPr>
          <w:rFonts w:cstheme="minorHAnsi"/>
        </w:rPr>
        <w:t>, point</w:t>
      </w:r>
      <w:r w:rsidR="0008733A" w:rsidRPr="00AB7FF1">
        <w:rPr>
          <w:rFonts w:cstheme="minorHAnsi"/>
        </w:rPr>
        <w:t> </w:t>
      </w:r>
      <w:r w:rsidRPr="00AB7FF1">
        <w:rPr>
          <w:rFonts w:cstheme="minorHAnsi"/>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57"/>
      <w:gridCol w:w="5113"/>
    </w:tblGrid>
    <w:tr w:rsidR="0089159B" w:rsidRPr="00D0004E" w14:paraId="208D7136" w14:textId="77777777" w:rsidTr="00637E29">
      <w:trPr>
        <w:trHeight w:val="567"/>
      </w:trPr>
      <w:tc>
        <w:tcPr>
          <w:tcW w:w="4957" w:type="dxa"/>
          <w:vMerge w:val="restart"/>
          <w:tcBorders>
            <w:right w:val="single" w:sz="4" w:space="0" w:color="auto"/>
          </w:tcBorders>
          <w:shd w:val="clear" w:color="auto" w:fill="auto"/>
          <w:vAlign w:val="center"/>
        </w:tcPr>
        <w:p w14:paraId="77AF4834" w14:textId="77777777" w:rsidR="0089159B" w:rsidRPr="00406030" w:rsidRDefault="0089159B" w:rsidP="0089159B">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1A71F33F" w14:textId="4D5FC50A" w:rsidR="0089159B" w:rsidRPr="00D0004E" w:rsidRDefault="0089159B" w:rsidP="0089159B">
          <w:pPr>
            <w:spacing w:before="0" w:after="0"/>
            <w:jc w:val="right"/>
            <w:rPr>
              <w:sz w:val="32"/>
              <w:szCs w:val="32"/>
              <w:lang w:val="en-US"/>
            </w:rPr>
          </w:pPr>
          <w:r>
            <w:rPr>
              <w:sz w:val="32"/>
              <w:szCs w:val="32"/>
              <w:lang w:val="en-US"/>
            </w:rPr>
            <w:t>MON CER 403-002</w:t>
          </w:r>
        </w:p>
      </w:tc>
    </w:tr>
    <w:tr w:rsidR="0089159B" w:rsidRPr="002F7EC5" w14:paraId="711FDF46" w14:textId="77777777" w:rsidTr="00637E29">
      <w:trPr>
        <w:trHeight w:val="567"/>
      </w:trPr>
      <w:tc>
        <w:tcPr>
          <w:tcW w:w="4957" w:type="dxa"/>
          <w:vMerge/>
        </w:tcPr>
        <w:p w14:paraId="6D3CD65E" w14:textId="77777777" w:rsidR="0089159B" w:rsidRPr="002F7EC5" w:rsidRDefault="0089159B" w:rsidP="0089159B">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51F8C55D" w14:textId="5FC5C19E" w:rsidR="0089159B" w:rsidRPr="000C08A4" w:rsidRDefault="0089159B" w:rsidP="0089159B">
          <w:pPr>
            <w:spacing w:before="0" w:after="0"/>
            <w:jc w:val="right"/>
          </w:pPr>
          <w:r w:rsidRPr="000C08A4">
            <w:t>Comité d’éthique de la recherche</w:t>
          </w:r>
        </w:p>
        <w:p w14:paraId="4FB86C4E" w14:textId="10253126" w:rsidR="0089159B" w:rsidRPr="002F7EC5" w:rsidRDefault="0089159B" w:rsidP="0089159B">
          <w:pPr>
            <w:spacing w:before="0" w:after="0"/>
            <w:jc w:val="right"/>
            <w:rPr>
              <w:lang w:val="en-US"/>
            </w:rPr>
          </w:pPr>
          <w:r w:rsidRPr="000C08A4">
            <w:t>Mode opératoire normalisé</w:t>
          </w:r>
        </w:p>
      </w:tc>
    </w:tr>
  </w:tbl>
  <w:p w14:paraId="240F8D8B" w14:textId="77777777" w:rsidR="0030269A" w:rsidRPr="00ED30D3" w:rsidRDefault="0030269A" w:rsidP="0030269A">
    <w:pPr>
      <w:pStyle w:val="En-tte"/>
    </w:pPr>
  </w:p>
  <w:p w14:paraId="6EB32263" w14:textId="77777777" w:rsidR="0030269A" w:rsidRPr="00ED30D3" w:rsidRDefault="0030269A" w:rsidP="00302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C909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6B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6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DE6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A1AD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8C66A38A"/>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9624B28"/>
    <w:multiLevelType w:val="hybridMultilevel"/>
    <w:tmpl w:val="077A2B0A"/>
    <w:lvl w:ilvl="0" w:tplc="040C0001">
      <w:start w:val="1"/>
      <w:numFmt w:val="bullet"/>
      <w:lvlText w:val=""/>
      <w:lvlJc w:val="left"/>
      <w:pPr>
        <w:ind w:left="1568" w:hanging="360"/>
      </w:pPr>
      <w:rPr>
        <w:rFonts w:ascii="Symbol" w:hAnsi="Symbol" w:hint="default"/>
      </w:rPr>
    </w:lvl>
    <w:lvl w:ilvl="1" w:tplc="040C0003" w:tentative="1">
      <w:start w:val="1"/>
      <w:numFmt w:val="bullet"/>
      <w:lvlText w:val="o"/>
      <w:lvlJc w:val="left"/>
      <w:pPr>
        <w:ind w:left="2288" w:hanging="360"/>
      </w:pPr>
      <w:rPr>
        <w:rFonts w:ascii="Courier New" w:hAnsi="Courier New" w:cs="Courier New" w:hint="default"/>
      </w:rPr>
    </w:lvl>
    <w:lvl w:ilvl="2" w:tplc="040C0005" w:tentative="1">
      <w:start w:val="1"/>
      <w:numFmt w:val="bullet"/>
      <w:lvlText w:val=""/>
      <w:lvlJc w:val="left"/>
      <w:pPr>
        <w:ind w:left="3008" w:hanging="360"/>
      </w:pPr>
      <w:rPr>
        <w:rFonts w:ascii="Wingdings" w:hAnsi="Wingdings" w:hint="default"/>
      </w:rPr>
    </w:lvl>
    <w:lvl w:ilvl="3" w:tplc="040C0001" w:tentative="1">
      <w:start w:val="1"/>
      <w:numFmt w:val="bullet"/>
      <w:lvlText w:val=""/>
      <w:lvlJc w:val="left"/>
      <w:pPr>
        <w:ind w:left="3728" w:hanging="360"/>
      </w:pPr>
      <w:rPr>
        <w:rFonts w:ascii="Symbol" w:hAnsi="Symbol" w:hint="default"/>
      </w:rPr>
    </w:lvl>
    <w:lvl w:ilvl="4" w:tplc="040C0003" w:tentative="1">
      <w:start w:val="1"/>
      <w:numFmt w:val="bullet"/>
      <w:lvlText w:val="o"/>
      <w:lvlJc w:val="left"/>
      <w:pPr>
        <w:ind w:left="4448" w:hanging="360"/>
      </w:pPr>
      <w:rPr>
        <w:rFonts w:ascii="Courier New" w:hAnsi="Courier New" w:cs="Courier New" w:hint="default"/>
      </w:rPr>
    </w:lvl>
    <w:lvl w:ilvl="5" w:tplc="040C0005" w:tentative="1">
      <w:start w:val="1"/>
      <w:numFmt w:val="bullet"/>
      <w:lvlText w:val=""/>
      <w:lvlJc w:val="left"/>
      <w:pPr>
        <w:ind w:left="5168" w:hanging="360"/>
      </w:pPr>
      <w:rPr>
        <w:rFonts w:ascii="Wingdings" w:hAnsi="Wingdings" w:hint="default"/>
      </w:rPr>
    </w:lvl>
    <w:lvl w:ilvl="6" w:tplc="040C0001" w:tentative="1">
      <w:start w:val="1"/>
      <w:numFmt w:val="bullet"/>
      <w:lvlText w:val=""/>
      <w:lvlJc w:val="left"/>
      <w:pPr>
        <w:ind w:left="5888" w:hanging="360"/>
      </w:pPr>
      <w:rPr>
        <w:rFonts w:ascii="Symbol" w:hAnsi="Symbol" w:hint="default"/>
      </w:rPr>
    </w:lvl>
    <w:lvl w:ilvl="7" w:tplc="040C0003" w:tentative="1">
      <w:start w:val="1"/>
      <w:numFmt w:val="bullet"/>
      <w:lvlText w:val="o"/>
      <w:lvlJc w:val="left"/>
      <w:pPr>
        <w:ind w:left="6608" w:hanging="360"/>
      </w:pPr>
      <w:rPr>
        <w:rFonts w:ascii="Courier New" w:hAnsi="Courier New" w:cs="Courier New" w:hint="default"/>
      </w:rPr>
    </w:lvl>
    <w:lvl w:ilvl="8" w:tplc="040C0005" w:tentative="1">
      <w:start w:val="1"/>
      <w:numFmt w:val="bullet"/>
      <w:lvlText w:val=""/>
      <w:lvlJc w:val="left"/>
      <w:pPr>
        <w:ind w:left="7328" w:hanging="360"/>
      </w:pPr>
      <w:rPr>
        <w:rFonts w:ascii="Wingdings" w:hAnsi="Wingdings" w:hint="default"/>
      </w:r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526078"/>
    <w:multiLevelType w:val="hybridMultilevel"/>
    <w:tmpl w:val="4522AAE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B3715A1"/>
    <w:multiLevelType w:val="multilevel"/>
    <w:tmpl w:val="040C001D"/>
    <w:numStyleLink w:val="SOPListeHyrarchise"/>
  </w:abstractNum>
  <w:abstractNum w:abstractNumId="23"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A05191"/>
    <w:multiLevelType w:val="multilevel"/>
    <w:tmpl w:val="97727C16"/>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08"/>
      </w:pPr>
      <w:rPr>
        <w:rFonts w:ascii="Arial" w:eastAsia="Arial" w:hAnsi="Arial" w:hint="default"/>
        <w:sz w:val="24"/>
        <w:szCs w:val="24"/>
      </w:rPr>
    </w:lvl>
    <w:lvl w:ilvl="3">
      <w:start w:val="1"/>
      <w:numFmt w:val="bullet"/>
      <w:lvlText w:val="•"/>
      <w:lvlJc w:val="left"/>
      <w:pPr>
        <w:ind w:hanging="425"/>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6" w15:restartNumberingAfterBreak="0">
    <w:nsid w:val="72C23F72"/>
    <w:multiLevelType w:val="hybridMultilevel"/>
    <w:tmpl w:val="5CF2423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num w:numId="1" w16cid:durableId="1711490222">
    <w:abstractNumId w:val="14"/>
  </w:num>
  <w:num w:numId="2" w16cid:durableId="1948198950">
    <w:abstractNumId w:val="20"/>
  </w:num>
  <w:num w:numId="3" w16cid:durableId="494762313">
    <w:abstractNumId w:val="25"/>
  </w:num>
  <w:num w:numId="4" w16cid:durableId="550769916">
    <w:abstractNumId w:val="4"/>
  </w:num>
  <w:num w:numId="5" w16cid:durableId="1057554481">
    <w:abstractNumId w:val="5"/>
  </w:num>
  <w:num w:numId="6" w16cid:durableId="531068793">
    <w:abstractNumId w:val="6"/>
  </w:num>
  <w:num w:numId="7" w16cid:durableId="1393386550">
    <w:abstractNumId w:val="7"/>
  </w:num>
  <w:num w:numId="8" w16cid:durableId="1410151115">
    <w:abstractNumId w:val="9"/>
  </w:num>
  <w:num w:numId="9" w16cid:durableId="1278676959">
    <w:abstractNumId w:val="0"/>
  </w:num>
  <w:num w:numId="10" w16cid:durableId="320428452">
    <w:abstractNumId w:val="1"/>
  </w:num>
  <w:num w:numId="11" w16cid:durableId="587543259">
    <w:abstractNumId w:val="2"/>
  </w:num>
  <w:num w:numId="12" w16cid:durableId="385686594">
    <w:abstractNumId w:val="3"/>
  </w:num>
  <w:num w:numId="13" w16cid:durableId="837039419">
    <w:abstractNumId w:val="8"/>
  </w:num>
  <w:num w:numId="14" w16cid:durableId="845097503">
    <w:abstractNumId w:val="19"/>
  </w:num>
  <w:num w:numId="15" w16cid:durableId="1683892751">
    <w:abstractNumId w:val="18"/>
  </w:num>
  <w:num w:numId="16" w16cid:durableId="16153360">
    <w:abstractNumId w:val="11"/>
  </w:num>
  <w:num w:numId="17" w16cid:durableId="545415381">
    <w:abstractNumId w:val="10"/>
  </w:num>
  <w:num w:numId="18" w16cid:durableId="1718047542">
    <w:abstractNumId w:val="23"/>
  </w:num>
  <w:num w:numId="19" w16cid:durableId="432828335">
    <w:abstractNumId w:val="15"/>
  </w:num>
  <w:num w:numId="20" w16cid:durableId="115878070">
    <w:abstractNumId w:val="13"/>
  </w:num>
  <w:num w:numId="21" w16cid:durableId="2006472858">
    <w:abstractNumId w:val="12"/>
  </w:num>
  <w:num w:numId="22" w16cid:durableId="1499274371">
    <w:abstractNumId w:val="22"/>
  </w:num>
  <w:num w:numId="23" w16cid:durableId="711266598">
    <w:abstractNumId w:val="16"/>
  </w:num>
  <w:num w:numId="24" w16cid:durableId="690836962">
    <w:abstractNumId w:val="24"/>
  </w:num>
  <w:num w:numId="25" w16cid:durableId="1337222803">
    <w:abstractNumId w:val="17"/>
  </w:num>
  <w:num w:numId="26" w16cid:durableId="1762751977">
    <w:abstractNumId w:val="21"/>
  </w:num>
  <w:num w:numId="27" w16cid:durableId="2369373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2610A"/>
    <w:rsid w:val="00047C05"/>
    <w:rsid w:val="0008183D"/>
    <w:rsid w:val="0008733A"/>
    <w:rsid w:val="000C08A4"/>
    <w:rsid w:val="00136AA8"/>
    <w:rsid w:val="001D0B72"/>
    <w:rsid w:val="001D4F50"/>
    <w:rsid w:val="001D7896"/>
    <w:rsid w:val="002649C6"/>
    <w:rsid w:val="00283978"/>
    <w:rsid w:val="002B5BA5"/>
    <w:rsid w:val="002B5EA6"/>
    <w:rsid w:val="002C09D0"/>
    <w:rsid w:val="002C52DA"/>
    <w:rsid w:val="002E18ED"/>
    <w:rsid w:val="002E750D"/>
    <w:rsid w:val="0030269A"/>
    <w:rsid w:val="0032222C"/>
    <w:rsid w:val="00347179"/>
    <w:rsid w:val="003701AC"/>
    <w:rsid w:val="0037339A"/>
    <w:rsid w:val="00381E3D"/>
    <w:rsid w:val="00386EA4"/>
    <w:rsid w:val="00407B78"/>
    <w:rsid w:val="00411656"/>
    <w:rsid w:val="00415D7C"/>
    <w:rsid w:val="00426EC8"/>
    <w:rsid w:val="004374F7"/>
    <w:rsid w:val="00444D39"/>
    <w:rsid w:val="00452801"/>
    <w:rsid w:val="00460D5F"/>
    <w:rsid w:val="00463697"/>
    <w:rsid w:val="00474636"/>
    <w:rsid w:val="0047642D"/>
    <w:rsid w:val="004854FA"/>
    <w:rsid w:val="00497504"/>
    <w:rsid w:val="004A17C4"/>
    <w:rsid w:val="004D5ED4"/>
    <w:rsid w:val="004E2F06"/>
    <w:rsid w:val="004E398A"/>
    <w:rsid w:val="004E70B1"/>
    <w:rsid w:val="005153D0"/>
    <w:rsid w:val="00523B19"/>
    <w:rsid w:val="0054797D"/>
    <w:rsid w:val="0059613B"/>
    <w:rsid w:val="005D3AB3"/>
    <w:rsid w:val="005E7580"/>
    <w:rsid w:val="006152D4"/>
    <w:rsid w:val="00651A4F"/>
    <w:rsid w:val="006679F4"/>
    <w:rsid w:val="006715F2"/>
    <w:rsid w:val="006755FC"/>
    <w:rsid w:val="006A4376"/>
    <w:rsid w:val="006E5F47"/>
    <w:rsid w:val="0071526A"/>
    <w:rsid w:val="00717BAF"/>
    <w:rsid w:val="00741AB3"/>
    <w:rsid w:val="00753239"/>
    <w:rsid w:val="00756C58"/>
    <w:rsid w:val="00765482"/>
    <w:rsid w:val="00781FB2"/>
    <w:rsid w:val="007B2A6C"/>
    <w:rsid w:val="007D0591"/>
    <w:rsid w:val="00816E64"/>
    <w:rsid w:val="00823C1D"/>
    <w:rsid w:val="0083429C"/>
    <w:rsid w:val="008900E0"/>
    <w:rsid w:val="0089159B"/>
    <w:rsid w:val="008A587F"/>
    <w:rsid w:val="008B4811"/>
    <w:rsid w:val="008B4E7E"/>
    <w:rsid w:val="008E5297"/>
    <w:rsid w:val="008E7364"/>
    <w:rsid w:val="00903EE1"/>
    <w:rsid w:val="009122C1"/>
    <w:rsid w:val="00933E02"/>
    <w:rsid w:val="009754E0"/>
    <w:rsid w:val="00986A54"/>
    <w:rsid w:val="009A066A"/>
    <w:rsid w:val="009B1C4C"/>
    <w:rsid w:val="009E498E"/>
    <w:rsid w:val="009F0CD2"/>
    <w:rsid w:val="009F18BA"/>
    <w:rsid w:val="009F302E"/>
    <w:rsid w:val="00A147B4"/>
    <w:rsid w:val="00A26CA7"/>
    <w:rsid w:val="00A36E68"/>
    <w:rsid w:val="00A51BB0"/>
    <w:rsid w:val="00A644F1"/>
    <w:rsid w:val="00A967C9"/>
    <w:rsid w:val="00AB7FF1"/>
    <w:rsid w:val="00AD1C21"/>
    <w:rsid w:val="00AE24D2"/>
    <w:rsid w:val="00AE519B"/>
    <w:rsid w:val="00B1160C"/>
    <w:rsid w:val="00B40F01"/>
    <w:rsid w:val="00B66BD6"/>
    <w:rsid w:val="00B80170"/>
    <w:rsid w:val="00BA53A3"/>
    <w:rsid w:val="00BB0A9C"/>
    <w:rsid w:val="00BC5FCD"/>
    <w:rsid w:val="00C03A39"/>
    <w:rsid w:val="00C067A3"/>
    <w:rsid w:val="00C10B4C"/>
    <w:rsid w:val="00C2027E"/>
    <w:rsid w:val="00C37164"/>
    <w:rsid w:val="00C94729"/>
    <w:rsid w:val="00CD0DC2"/>
    <w:rsid w:val="00CE63B7"/>
    <w:rsid w:val="00D03AF4"/>
    <w:rsid w:val="00D70FB5"/>
    <w:rsid w:val="00DC1037"/>
    <w:rsid w:val="00DC2BA3"/>
    <w:rsid w:val="00DF0771"/>
    <w:rsid w:val="00E12F52"/>
    <w:rsid w:val="00E46561"/>
    <w:rsid w:val="00E75B76"/>
    <w:rsid w:val="00E76C63"/>
    <w:rsid w:val="00EC101E"/>
    <w:rsid w:val="00ED30D3"/>
    <w:rsid w:val="00EE4B3F"/>
    <w:rsid w:val="00F374D7"/>
    <w:rsid w:val="00F443B2"/>
    <w:rsid w:val="00F8222D"/>
    <w:rsid w:val="00FC636C"/>
    <w:rsid w:val="1D13C35E"/>
    <w:rsid w:val="36E49457"/>
    <w:rsid w:val="39F61A55"/>
    <w:rsid w:val="72DFE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2767"/>
  <w15:chartTrackingRefBased/>
  <w15:docId w15:val="{C64269BD-D623-4AD0-81F3-1CE5007B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02"/>
    <w:pPr>
      <w:spacing w:before="240" w:after="240"/>
      <w:jc w:val="both"/>
    </w:pPr>
    <w:rPr>
      <w:sz w:val="22"/>
      <w:szCs w:val="22"/>
      <w:lang w:val="fr-CA"/>
    </w:rPr>
  </w:style>
  <w:style w:type="paragraph" w:styleId="Titre1">
    <w:name w:val="heading 1"/>
    <w:basedOn w:val="Normal"/>
    <w:next w:val="Normal"/>
    <w:link w:val="Titre1Car"/>
    <w:uiPriority w:val="1"/>
    <w:qFormat/>
    <w:rsid w:val="00741AB3"/>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1"/>
    <w:unhideWhenUsed/>
    <w:qFormat/>
    <w:rsid w:val="00933E02"/>
    <w:pPr>
      <w:keepNext/>
      <w:widowControl w:val="0"/>
      <w:numPr>
        <w:ilvl w:val="1"/>
        <w:numId w:val="1"/>
      </w:numPr>
      <w:tabs>
        <w:tab w:val="left" w:pos="1134"/>
      </w:tabs>
      <w:ind w:left="1138" w:hanging="1138"/>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1AB3"/>
    <w:rPr>
      <w:rFonts w:eastAsiaTheme="majorEastAsia" w:cs="Calibri (Corps)"/>
      <w:b/>
      <w:caps/>
      <w:sz w:val="22"/>
      <w:szCs w:val="22"/>
      <w:lang w:val="fr-CA"/>
    </w:rPr>
  </w:style>
  <w:style w:type="character" w:customStyle="1" w:styleId="Titre2Car">
    <w:name w:val="Titre 2 Car"/>
    <w:basedOn w:val="Policepardfaut"/>
    <w:link w:val="Titre2"/>
    <w:uiPriority w:val="9"/>
    <w:rsid w:val="00933E02"/>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iPriority w:val="99"/>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table" w:customStyle="1" w:styleId="TableNormal1">
    <w:name w:val="Table Normal1"/>
    <w:uiPriority w:val="2"/>
    <w:semiHidden/>
    <w:unhideWhenUsed/>
    <w:qFormat/>
    <w:rsid w:val="00933E02"/>
    <w:pPr>
      <w:widowControl w:val="0"/>
    </w:pPr>
    <w:rPr>
      <w:sz w:val="22"/>
      <w:szCs w:val="22"/>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933E02"/>
    <w:pPr>
      <w:widowControl w:val="0"/>
      <w:spacing w:before="0" w:after="0"/>
      <w:ind w:left="848" w:hanging="708"/>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933E02"/>
    <w:rPr>
      <w:rFonts w:ascii="Arial" w:eastAsia="Arial" w:hAnsi="Arial"/>
      <w:lang w:val="en-US"/>
    </w:rPr>
  </w:style>
  <w:style w:type="paragraph" w:customStyle="1" w:styleId="TableParagraph">
    <w:name w:val="Table Paragraph"/>
    <w:basedOn w:val="Normal"/>
    <w:uiPriority w:val="1"/>
    <w:qFormat/>
    <w:rsid w:val="00933E02"/>
    <w:pPr>
      <w:widowControl w:val="0"/>
      <w:spacing w:before="0" w:after="0"/>
      <w:jc w:val="left"/>
    </w:pPr>
    <w:rPr>
      <w:lang w:val="en-US"/>
    </w:rPr>
  </w:style>
  <w:style w:type="character" w:customStyle="1" w:styleId="normaltextrun">
    <w:name w:val="normaltextrun"/>
    <w:basedOn w:val="Policepardfaut"/>
    <w:rsid w:val="009122C1"/>
  </w:style>
  <w:style w:type="paragraph" w:customStyle="1" w:styleId="paragraph">
    <w:name w:val="paragraph"/>
    <w:basedOn w:val="Normal"/>
    <w:rsid w:val="009F302E"/>
    <w:pPr>
      <w:spacing w:before="100" w:beforeAutospacing="1" w:after="100" w:afterAutospacing="1"/>
      <w:jc w:val="left"/>
    </w:pPr>
    <w:rPr>
      <w:rFonts w:ascii="Times New Roman" w:eastAsia="Times New Roman" w:hAnsi="Times New Roman" w:cs="Times New Roman"/>
      <w:sz w:val="24"/>
      <w:szCs w:val="24"/>
      <w:lang w:eastAsia="fr-CA"/>
    </w:rPr>
  </w:style>
  <w:style w:type="character" w:customStyle="1" w:styleId="eop">
    <w:name w:val="eop"/>
    <w:basedOn w:val="Policepardfaut"/>
    <w:rsid w:val="009F3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32321">
      <w:bodyDiv w:val="1"/>
      <w:marLeft w:val="0"/>
      <w:marRight w:val="0"/>
      <w:marTop w:val="0"/>
      <w:marBottom w:val="0"/>
      <w:divBdr>
        <w:top w:val="none" w:sz="0" w:space="0" w:color="auto"/>
        <w:left w:val="none" w:sz="0" w:space="0" w:color="auto"/>
        <w:bottom w:val="none" w:sz="0" w:space="0" w:color="auto"/>
        <w:right w:val="none" w:sz="0" w:space="0" w:color="auto"/>
      </w:divBdr>
      <w:divsChild>
        <w:div w:id="1744640324">
          <w:marLeft w:val="0"/>
          <w:marRight w:val="0"/>
          <w:marTop w:val="0"/>
          <w:marBottom w:val="0"/>
          <w:divBdr>
            <w:top w:val="none" w:sz="0" w:space="0" w:color="auto"/>
            <w:left w:val="none" w:sz="0" w:space="0" w:color="auto"/>
            <w:bottom w:val="none" w:sz="0" w:space="0" w:color="auto"/>
            <w:right w:val="none" w:sz="0" w:space="0" w:color="auto"/>
          </w:divBdr>
        </w:div>
        <w:div w:id="1293636245">
          <w:marLeft w:val="0"/>
          <w:marRight w:val="0"/>
          <w:marTop w:val="0"/>
          <w:marBottom w:val="0"/>
          <w:divBdr>
            <w:top w:val="none" w:sz="0" w:space="0" w:color="auto"/>
            <w:left w:val="none" w:sz="0" w:space="0" w:color="auto"/>
            <w:bottom w:val="none" w:sz="0" w:space="0" w:color="auto"/>
            <w:right w:val="none" w:sz="0" w:space="0" w:color="auto"/>
          </w:divBdr>
        </w:div>
      </w:divsChild>
    </w:div>
    <w:div w:id="1194660407">
      <w:bodyDiv w:val="1"/>
      <w:marLeft w:val="0"/>
      <w:marRight w:val="0"/>
      <w:marTop w:val="0"/>
      <w:marBottom w:val="0"/>
      <w:divBdr>
        <w:top w:val="none" w:sz="0" w:space="0" w:color="auto"/>
        <w:left w:val="none" w:sz="0" w:space="0" w:color="auto"/>
        <w:bottom w:val="none" w:sz="0" w:space="0" w:color="auto"/>
        <w:right w:val="none" w:sz="0" w:space="0" w:color="auto"/>
      </w:divBdr>
    </w:div>
    <w:div w:id="16719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a1c3e9-5c70-48ae-abf9-6cafc0353a2a" xsi:nil="true"/>
    <lcf76f155ced4ddcb4097134ff3c332f xmlns="0867f859-d9ca-420f-8ce6-44e8aa7b0b44">
      <Terms xmlns="http://schemas.microsoft.com/office/infopath/2007/PartnerControls"/>
    </lcf76f155ced4ddcb4097134ff3c332f>
    <Time xmlns="0867f859-d9ca-420f-8ce6-44e8aa7b0b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B2FA-094F-4737-8046-D3C5AB76F300}">
  <ds:schemaRefs>
    <ds:schemaRef ds:uri="http://schemas.microsoft.com/office/2006/metadata/properties"/>
    <ds:schemaRef ds:uri="http://schemas.microsoft.com/office/infopath/2007/PartnerControls"/>
    <ds:schemaRef ds:uri="0ba1c3e9-5c70-48ae-abf9-6cafc0353a2a"/>
    <ds:schemaRef ds:uri="0867f859-d9ca-420f-8ce6-44e8aa7b0b44"/>
  </ds:schemaRefs>
</ds:datastoreItem>
</file>

<file path=customXml/itemProps2.xml><?xml version="1.0" encoding="utf-8"?>
<ds:datastoreItem xmlns:ds="http://schemas.openxmlformats.org/officeDocument/2006/customXml" ds:itemID="{95AB77AF-2B50-4069-9663-38C5BF66628A}">
  <ds:schemaRefs>
    <ds:schemaRef ds:uri="http://schemas.microsoft.com/sharepoint/v3/contenttype/forms"/>
  </ds:schemaRefs>
</ds:datastoreItem>
</file>

<file path=customXml/itemProps3.xml><?xml version="1.0" encoding="utf-8"?>
<ds:datastoreItem xmlns:ds="http://schemas.openxmlformats.org/officeDocument/2006/customXml" ds:itemID="{9CF06F3F-D157-4CE0-B50B-54FF8E88E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6FDB5-4DC2-4F15-A3A4-9A6E34FF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1201</Words>
  <Characters>6611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10</cp:revision>
  <dcterms:created xsi:type="dcterms:W3CDTF">2023-03-15T14:32:00Z</dcterms:created>
  <dcterms:modified xsi:type="dcterms:W3CDTF">2023-11-24T18:13:00Z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2022-12-02T14:22:55Z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506fb00d-e60e-4a97-bf6b-02df4c4f0bb6</vt:lpwstr>
  </property>
  <property fmtid="{D5CDD505-2E9C-101B-9397-08002B2CF9AE}" pid="8" name="MSIP_Label_6a7d8d5d-78e2-4a62-9fcd-016eb5e4c57c_ContentBits">
    <vt:lpwstr>0</vt:lpwstr>
  </property>
  <property fmtid="{D5CDD505-2E9C-101B-9397-08002B2CF9AE}" pid="9" name="ContentTypeId">
    <vt:lpwstr>0x010100EEF4C38C483B554087AF2DBD6B1FBEEB</vt:lpwstr>
  </property>
  <property fmtid="{D5CDD505-2E9C-101B-9397-08002B2CF9AE}" pid="10" name="MediaServiceImageTags">
    <vt:lpwstr/>
  </property>
</Properties>
</file>