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943C" w14:textId="77777777" w:rsidR="0030269A" w:rsidRPr="006C496E" w:rsidRDefault="0030269A" w:rsidP="002C1840">
      <w:pPr>
        <w:spacing w:before="0" w:after="0"/>
      </w:pPr>
    </w:p>
    <w:tbl>
      <w:tblPr>
        <w:tblStyle w:val="Grilledutableau"/>
        <w:tblW w:w="0" w:type="auto"/>
        <w:tblLook w:val="04A0" w:firstRow="1" w:lastRow="0" w:firstColumn="1" w:lastColumn="0" w:noHBand="0" w:noVBand="1"/>
      </w:tblPr>
      <w:tblGrid>
        <w:gridCol w:w="3325"/>
        <w:gridCol w:w="6745"/>
      </w:tblGrid>
      <w:tr w:rsidR="0030269A" w:rsidRPr="006C496E" w14:paraId="5CBB8D91" w14:textId="77777777" w:rsidTr="00012A3D">
        <w:tc>
          <w:tcPr>
            <w:tcW w:w="3325" w:type="dxa"/>
          </w:tcPr>
          <w:p w14:paraId="4075944B" w14:textId="77777777" w:rsidR="0030269A" w:rsidRPr="006C496E" w:rsidRDefault="0030269A" w:rsidP="002C1840">
            <w:pPr>
              <w:spacing w:before="60" w:after="60"/>
              <w:rPr>
                <w:b/>
              </w:rPr>
            </w:pPr>
            <w:r w:rsidRPr="006C496E">
              <w:rPr>
                <w:b/>
              </w:rPr>
              <w:t>Title</w:t>
            </w:r>
          </w:p>
        </w:tc>
        <w:tc>
          <w:tcPr>
            <w:tcW w:w="6745" w:type="dxa"/>
          </w:tcPr>
          <w:p w14:paraId="79C6DA8F" w14:textId="309EBD90" w:rsidR="0030269A" w:rsidRPr="006C496E" w:rsidRDefault="008347F6" w:rsidP="002C1840">
            <w:pPr>
              <w:spacing w:before="60" w:after="60"/>
            </w:pPr>
            <w:r w:rsidRPr="006C496E">
              <w:t>Recruitment and Informed Consent Requirements</w:t>
            </w:r>
          </w:p>
        </w:tc>
      </w:tr>
      <w:tr w:rsidR="0030269A" w:rsidRPr="006C496E" w14:paraId="4B738BF7" w14:textId="77777777" w:rsidTr="00012A3D">
        <w:tc>
          <w:tcPr>
            <w:tcW w:w="3325" w:type="dxa"/>
          </w:tcPr>
          <w:p w14:paraId="2232E9FD" w14:textId="77777777" w:rsidR="0030269A" w:rsidRPr="006C496E" w:rsidRDefault="58B8826E" w:rsidP="002C1840">
            <w:pPr>
              <w:spacing w:before="60" w:after="60"/>
              <w:rPr>
                <w:b/>
                <w:bCs/>
              </w:rPr>
            </w:pPr>
            <w:r w:rsidRPr="006C496E">
              <w:rPr>
                <w:b/>
                <w:bCs/>
              </w:rPr>
              <w:t>SOP Code</w:t>
            </w:r>
          </w:p>
        </w:tc>
        <w:tc>
          <w:tcPr>
            <w:tcW w:w="6745" w:type="dxa"/>
          </w:tcPr>
          <w:p w14:paraId="1647617C" w14:textId="1FE094BE" w:rsidR="0030269A" w:rsidRPr="006C496E" w:rsidRDefault="58B8826E" w:rsidP="002C1840">
            <w:pPr>
              <w:spacing w:before="60" w:after="60"/>
            </w:pPr>
            <w:r w:rsidRPr="006C496E">
              <w:t>REB</w:t>
            </w:r>
            <w:r w:rsidR="00660163" w:rsidRPr="006C496E">
              <w:t>-</w:t>
            </w:r>
            <w:r w:rsidR="00665846" w:rsidRPr="006C496E">
              <w:t xml:space="preserve">SOP </w:t>
            </w:r>
            <w:r w:rsidR="002146DF" w:rsidRPr="006C496E">
              <w:t>701-002</w:t>
            </w:r>
          </w:p>
        </w:tc>
      </w:tr>
      <w:tr w:rsidR="0030269A" w:rsidRPr="006C496E" w14:paraId="00D478A9" w14:textId="77777777" w:rsidTr="00012A3D">
        <w:tc>
          <w:tcPr>
            <w:tcW w:w="3325" w:type="dxa"/>
          </w:tcPr>
          <w:p w14:paraId="2ACD6C3B" w14:textId="77777777" w:rsidR="0030269A" w:rsidRPr="006C496E" w:rsidRDefault="0030269A" w:rsidP="002C1840">
            <w:pPr>
              <w:spacing w:before="60" w:after="60"/>
              <w:rPr>
                <w:b/>
              </w:rPr>
            </w:pPr>
            <w:r w:rsidRPr="006C496E">
              <w:rPr>
                <w:b/>
              </w:rPr>
              <w:t>N2/CAREB SOP CODE</w:t>
            </w:r>
          </w:p>
        </w:tc>
        <w:tc>
          <w:tcPr>
            <w:tcW w:w="6745" w:type="dxa"/>
          </w:tcPr>
          <w:p w14:paraId="25BDE3AF" w14:textId="05B71152" w:rsidR="0030269A" w:rsidRPr="006C496E" w:rsidRDefault="00567B4B" w:rsidP="002C1840">
            <w:pPr>
              <w:spacing w:before="60" w:after="60"/>
            </w:pPr>
            <w:r w:rsidRPr="006C496E">
              <w:t>SOP 701</w:t>
            </w:r>
            <w:r w:rsidR="002146DF" w:rsidRPr="006C496E">
              <w:t>-003</w:t>
            </w:r>
          </w:p>
        </w:tc>
      </w:tr>
      <w:tr w:rsidR="0030269A" w:rsidRPr="006C496E" w14:paraId="662E8B27" w14:textId="77777777" w:rsidTr="00012A3D">
        <w:tc>
          <w:tcPr>
            <w:tcW w:w="3325" w:type="dxa"/>
          </w:tcPr>
          <w:p w14:paraId="722594D4" w14:textId="77777777" w:rsidR="0030269A" w:rsidRPr="006C496E" w:rsidRDefault="0030269A" w:rsidP="002C1840">
            <w:pPr>
              <w:spacing w:before="60" w:after="60"/>
              <w:rPr>
                <w:b/>
              </w:rPr>
            </w:pPr>
            <w:r w:rsidRPr="006C496E">
              <w:rPr>
                <w:b/>
              </w:rPr>
              <w:t>Effective Date</w:t>
            </w:r>
          </w:p>
        </w:tc>
        <w:tc>
          <w:tcPr>
            <w:tcW w:w="6745" w:type="dxa"/>
          </w:tcPr>
          <w:p w14:paraId="26CB7404" w14:textId="77777777" w:rsidR="0030269A" w:rsidRPr="006C496E" w:rsidRDefault="0030269A" w:rsidP="002C1840">
            <w:pPr>
              <w:spacing w:before="60" w:after="60"/>
            </w:pPr>
            <w:r w:rsidRPr="006C496E">
              <w:rPr>
                <w:highlight w:val="yellow"/>
              </w:rPr>
              <w:t>YYYY-MM-DD</w:t>
            </w:r>
          </w:p>
        </w:tc>
      </w:tr>
    </w:tbl>
    <w:p w14:paraId="229D3EDF" w14:textId="77777777" w:rsidR="0030269A" w:rsidRPr="006C496E" w:rsidRDefault="0030269A" w:rsidP="002C1840"/>
    <w:tbl>
      <w:tblPr>
        <w:tblStyle w:val="Grilledutableau"/>
        <w:tblW w:w="0" w:type="auto"/>
        <w:tblLook w:val="04A0" w:firstRow="1" w:lastRow="0" w:firstColumn="1" w:lastColumn="0" w:noHBand="0" w:noVBand="1"/>
      </w:tblPr>
      <w:tblGrid>
        <w:gridCol w:w="3325"/>
        <w:gridCol w:w="4467"/>
        <w:gridCol w:w="2206"/>
      </w:tblGrid>
      <w:tr w:rsidR="0030269A" w:rsidRPr="006C496E" w14:paraId="3CDCC298" w14:textId="77777777" w:rsidTr="00012A3D">
        <w:tc>
          <w:tcPr>
            <w:tcW w:w="3325" w:type="dxa"/>
            <w:shd w:val="clear" w:color="auto" w:fill="D9D9D9" w:themeFill="background1" w:themeFillShade="D9"/>
          </w:tcPr>
          <w:p w14:paraId="0581B37A" w14:textId="77777777" w:rsidR="0030269A" w:rsidRPr="006C496E" w:rsidRDefault="0030269A" w:rsidP="002C1840">
            <w:pPr>
              <w:spacing w:before="60" w:after="60"/>
              <w:jc w:val="center"/>
              <w:rPr>
                <w:b/>
              </w:rPr>
            </w:pPr>
            <w:r w:rsidRPr="006C496E">
              <w:rPr>
                <w:b/>
              </w:rPr>
              <w:t>Status</w:t>
            </w:r>
          </w:p>
        </w:tc>
        <w:tc>
          <w:tcPr>
            <w:tcW w:w="4467" w:type="dxa"/>
            <w:shd w:val="clear" w:color="auto" w:fill="D9D9D9" w:themeFill="background1" w:themeFillShade="D9"/>
          </w:tcPr>
          <w:p w14:paraId="5BCF0737" w14:textId="77777777" w:rsidR="0030269A" w:rsidRPr="006C496E" w:rsidRDefault="0030269A" w:rsidP="002C1840">
            <w:pPr>
              <w:spacing w:before="60" w:after="60"/>
              <w:jc w:val="center"/>
              <w:rPr>
                <w:b/>
              </w:rPr>
            </w:pPr>
            <w:r w:rsidRPr="006C496E">
              <w:rPr>
                <w:b/>
              </w:rPr>
              <w:t>Name and Title</w:t>
            </w:r>
          </w:p>
        </w:tc>
        <w:tc>
          <w:tcPr>
            <w:tcW w:w="2206" w:type="dxa"/>
            <w:shd w:val="clear" w:color="auto" w:fill="D9D9D9" w:themeFill="background1" w:themeFillShade="D9"/>
          </w:tcPr>
          <w:p w14:paraId="3054B627" w14:textId="77777777" w:rsidR="0030269A" w:rsidRPr="006C496E" w:rsidRDefault="0030269A" w:rsidP="002C1840">
            <w:pPr>
              <w:spacing w:before="60" w:after="60"/>
              <w:jc w:val="center"/>
              <w:rPr>
                <w:b/>
              </w:rPr>
            </w:pPr>
            <w:r w:rsidRPr="006C496E">
              <w:rPr>
                <w:b/>
              </w:rPr>
              <w:t>Date</w:t>
            </w:r>
          </w:p>
        </w:tc>
      </w:tr>
      <w:tr w:rsidR="0030269A" w:rsidRPr="006C496E" w14:paraId="371A1706" w14:textId="77777777" w:rsidTr="00012A3D">
        <w:tc>
          <w:tcPr>
            <w:tcW w:w="3325" w:type="dxa"/>
          </w:tcPr>
          <w:p w14:paraId="7C22258B" w14:textId="77777777" w:rsidR="0030269A" w:rsidRPr="006C496E" w:rsidRDefault="00012A3D" w:rsidP="002C1840">
            <w:pPr>
              <w:spacing w:before="60" w:after="60"/>
              <w:jc w:val="left"/>
              <w:rPr>
                <w:b/>
                <w:i/>
                <w:highlight w:val="yellow"/>
              </w:rPr>
            </w:pPr>
            <w:r w:rsidRPr="006C496E">
              <w:rPr>
                <w:b/>
                <w:i/>
              </w:rPr>
              <w:t>Author of Harmonized Template</w:t>
            </w:r>
          </w:p>
        </w:tc>
        <w:tc>
          <w:tcPr>
            <w:tcW w:w="4467" w:type="dxa"/>
          </w:tcPr>
          <w:p w14:paraId="45074E04" w14:textId="7DFF0D7B" w:rsidR="0030269A" w:rsidRPr="006C496E" w:rsidRDefault="002146DF" w:rsidP="002C1840">
            <w:pPr>
              <w:spacing w:before="60" w:after="60"/>
            </w:pPr>
            <w:r w:rsidRPr="006C496E">
              <w:t xml:space="preserve">REB </w:t>
            </w:r>
            <w:r w:rsidR="00012A3D" w:rsidRPr="006C496E">
              <w:t>SOPs</w:t>
            </w:r>
            <w:r w:rsidRPr="006C496E">
              <w:t xml:space="preserve"> developed by CATALIS Network</w:t>
            </w:r>
          </w:p>
        </w:tc>
        <w:tc>
          <w:tcPr>
            <w:tcW w:w="2206" w:type="dxa"/>
          </w:tcPr>
          <w:p w14:paraId="4448C77E" w14:textId="3CB526EA" w:rsidR="0030269A" w:rsidRPr="006C496E" w:rsidRDefault="002146DF" w:rsidP="002C1840">
            <w:pPr>
              <w:spacing w:before="60" w:after="60"/>
              <w:jc w:val="center"/>
            </w:pPr>
            <w:r w:rsidRPr="006C496E">
              <w:t>2023-05-01</w:t>
            </w:r>
          </w:p>
        </w:tc>
      </w:tr>
      <w:tr w:rsidR="005A11F5" w:rsidRPr="006C496E" w14:paraId="1AF51DB0" w14:textId="77777777" w:rsidTr="00012A3D">
        <w:tc>
          <w:tcPr>
            <w:tcW w:w="3325" w:type="dxa"/>
          </w:tcPr>
          <w:p w14:paraId="7EF20A62" w14:textId="77777777" w:rsidR="005A11F5" w:rsidRPr="006C496E" w:rsidRDefault="005A11F5" w:rsidP="002C1840">
            <w:pPr>
              <w:spacing w:before="60" w:after="60"/>
              <w:rPr>
                <w:b/>
                <w:i/>
                <w:highlight w:val="yellow"/>
              </w:rPr>
            </w:pPr>
            <w:r w:rsidRPr="006C496E">
              <w:rPr>
                <w:b/>
                <w:i/>
              </w:rPr>
              <w:t>Approved</w:t>
            </w:r>
          </w:p>
        </w:tc>
        <w:tc>
          <w:tcPr>
            <w:tcW w:w="4467" w:type="dxa"/>
          </w:tcPr>
          <w:p w14:paraId="26853D33" w14:textId="77777777" w:rsidR="005A11F5" w:rsidRPr="006C496E" w:rsidRDefault="008F4B93" w:rsidP="002C1840">
            <w:pPr>
              <w:spacing w:before="60" w:after="60"/>
            </w:pPr>
            <w:r w:rsidRPr="006C496E">
              <w:t>REB Full Board Meeting XXX</w:t>
            </w:r>
          </w:p>
        </w:tc>
        <w:tc>
          <w:tcPr>
            <w:tcW w:w="2206" w:type="dxa"/>
          </w:tcPr>
          <w:p w14:paraId="6089A112" w14:textId="77777777" w:rsidR="005A11F5" w:rsidRPr="006C496E" w:rsidRDefault="005A11F5" w:rsidP="002C1840">
            <w:pPr>
              <w:spacing w:before="60" w:after="60"/>
              <w:jc w:val="center"/>
            </w:pPr>
            <w:r w:rsidRPr="006C496E">
              <w:t>YYYY-MM-DD</w:t>
            </w:r>
          </w:p>
        </w:tc>
      </w:tr>
      <w:tr w:rsidR="005A11F5" w:rsidRPr="006C496E" w14:paraId="320AFAE3" w14:textId="77777777" w:rsidTr="00012A3D">
        <w:tc>
          <w:tcPr>
            <w:tcW w:w="3325" w:type="dxa"/>
          </w:tcPr>
          <w:p w14:paraId="48809CDD" w14:textId="47354683" w:rsidR="005A11F5" w:rsidRPr="006C496E" w:rsidRDefault="002146DF" w:rsidP="002C1840">
            <w:pPr>
              <w:spacing w:before="60" w:after="60"/>
              <w:rPr>
                <w:b/>
                <w:i/>
                <w:highlight w:val="yellow"/>
              </w:rPr>
            </w:pPr>
            <w:r w:rsidRPr="006C496E">
              <w:rPr>
                <w:b/>
                <w:i/>
              </w:rPr>
              <w:t>[Approved] or [</w:t>
            </w:r>
            <w:r w:rsidR="005A11F5" w:rsidRPr="006C496E">
              <w:rPr>
                <w:b/>
                <w:i/>
              </w:rPr>
              <w:t>Acknowledge receipt</w:t>
            </w:r>
            <w:r w:rsidRPr="006C496E">
              <w:rPr>
                <w:b/>
                <w:i/>
              </w:rPr>
              <w:t>]</w:t>
            </w:r>
          </w:p>
        </w:tc>
        <w:tc>
          <w:tcPr>
            <w:tcW w:w="4467" w:type="dxa"/>
          </w:tcPr>
          <w:p w14:paraId="090E9F68" w14:textId="77777777" w:rsidR="005A11F5" w:rsidRPr="006C496E" w:rsidRDefault="00E428CC" w:rsidP="002C1840">
            <w:pPr>
              <w:spacing w:before="60" w:after="60"/>
            </w:pPr>
            <w:r w:rsidRPr="006C496E">
              <w:t xml:space="preserve">CA </w:t>
            </w:r>
            <w:r w:rsidR="005A11F5" w:rsidRPr="006C496E">
              <w:t>XXX</w:t>
            </w:r>
          </w:p>
        </w:tc>
        <w:tc>
          <w:tcPr>
            <w:tcW w:w="2206" w:type="dxa"/>
          </w:tcPr>
          <w:p w14:paraId="11061973" w14:textId="77777777" w:rsidR="005A11F5" w:rsidRPr="006C496E" w:rsidRDefault="005A11F5" w:rsidP="002C1840">
            <w:pPr>
              <w:spacing w:before="60" w:after="60"/>
              <w:jc w:val="center"/>
            </w:pPr>
            <w:r w:rsidRPr="006C496E">
              <w:t>YYYY-MM-DD</w:t>
            </w:r>
          </w:p>
        </w:tc>
      </w:tr>
    </w:tbl>
    <w:p w14:paraId="6A47B373" w14:textId="77777777" w:rsidR="002E18ED" w:rsidRPr="006C496E" w:rsidRDefault="002E18ED" w:rsidP="002C1840">
      <w:pPr>
        <w:rPr>
          <w:b/>
        </w:rPr>
      </w:pPr>
    </w:p>
    <w:p w14:paraId="5BBC2C93" w14:textId="77777777" w:rsidR="0030269A" w:rsidRPr="006C496E" w:rsidRDefault="0030269A" w:rsidP="002C1840">
      <w:pPr>
        <w:rPr>
          <w:b/>
        </w:rPr>
      </w:pPr>
      <w:r w:rsidRPr="006C496E">
        <w:rPr>
          <w:b/>
        </w:rPr>
        <w:t>Table of Content</w:t>
      </w:r>
    </w:p>
    <w:p w14:paraId="6C9CA00D" w14:textId="63C96303" w:rsidR="005329E9" w:rsidRDefault="0030269A">
      <w:pPr>
        <w:pStyle w:val="TM1"/>
        <w:rPr>
          <w:kern w:val="2"/>
          <w:sz w:val="22"/>
          <w:szCs w:val="22"/>
          <w:lang w:val="fr-CA" w:eastAsia="fr-CA"/>
          <w14:ligatures w14:val="standardContextual"/>
        </w:rPr>
      </w:pPr>
      <w:r w:rsidRPr="006C496E">
        <w:rPr>
          <w:noProof w:val="0"/>
        </w:rPr>
        <w:fldChar w:fldCharType="begin"/>
      </w:r>
      <w:r w:rsidRPr="006C496E">
        <w:rPr>
          <w:noProof w:val="0"/>
        </w:rPr>
        <w:instrText xml:space="preserve"> TOC \o "1-2" \u </w:instrText>
      </w:r>
      <w:r w:rsidRPr="006C496E">
        <w:rPr>
          <w:noProof w:val="0"/>
        </w:rPr>
        <w:fldChar w:fldCharType="separate"/>
      </w:r>
      <w:r w:rsidR="005329E9">
        <w:t>1</w:t>
      </w:r>
      <w:r w:rsidR="005329E9">
        <w:rPr>
          <w:kern w:val="2"/>
          <w:sz w:val="22"/>
          <w:szCs w:val="22"/>
          <w:lang w:val="fr-CA" w:eastAsia="fr-CA"/>
          <w14:ligatures w14:val="standardContextual"/>
        </w:rPr>
        <w:tab/>
      </w:r>
      <w:r w:rsidR="005329E9">
        <w:t>Purpose</w:t>
      </w:r>
      <w:r w:rsidR="005329E9">
        <w:tab/>
      </w:r>
      <w:r w:rsidR="005329E9">
        <w:fldChar w:fldCharType="begin"/>
      </w:r>
      <w:r w:rsidR="005329E9">
        <w:instrText xml:space="preserve"> PAGEREF _Toc151529002 \h </w:instrText>
      </w:r>
      <w:r w:rsidR="005329E9">
        <w:fldChar w:fldCharType="separate"/>
      </w:r>
      <w:r w:rsidR="005329E9">
        <w:t>2</w:t>
      </w:r>
      <w:r w:rsidR="005329E9">
        <w:fldChar w:fldCharType="end"/>
      </w:r>
    </w:p>
    <w:p w14:paraId="4FB50330" w14:textId="0EF1258B" w:rsidR="005329E9" w:rsidRDefault="005329E9">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_Toc151529003 \h </w:instrText>
      </w:r>
      <w:r>
        <w:fldChar w:fldCharType="separate"/>
      </w:r>
      <w:r>
        <w:t>2</w:t>
      </w:r>
      <w:r>
        <w:fldChar w:fldCharType="end"/>
      </w:r>
    </w:p>
    <w:p w14:paraId="6E483B00" w14:textId="4F6E8050" w:rsidR="005329E9" w:rsidRDefault="005329E9">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_Toc151529004 \h </w:instrText>
      </w:r>
      <w:r>
        <w:fldChar w:fldCharType="separate"/>
      </w:r>
      <w:r>
        <w:t>2</w:t>
      </w:r>
      <w:r>
        <w:fldChar w:fldCharType="end"/>
      </w:r>
    </w:p>
    <w:p w14:paraId="640C64C9" w14:textId="142A2CE2" w:rsidR="005329E9" w:rsidRDefault="005329E9">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_Toc151529005 \h </w:instrText>
      </w:r>
      <w:r>
        <w:fldChar w:fldCharType="separate"/>
      </w:r>
      <w:r>
        <w:t>3</w:t>
      </w:r>
      <w:r>
        <w:fldChar w:fldCharType="end"/>
      </w:r>
    </w:p>
    <w:p w14:paraId="4A83618A" w14:textId="01D9AD3E" w:rsidR="005329E9" w:rsidRDefault="005329E9">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_Toc151529006 \h </w:instrText>
      </w:r>
      <w:r>
        <w:fldChar w:fldCharType="separate"/>
      </w:r>
      <w:r>
        <w:t>3</w:t>
      </w:r>
      <w:r>
        <w:fldChar w:fldCharType="end"/>
      </w:r>
    </w:p>
    <w:p w14:paraId="2D41C1E7" w14:textId="665C0D9D" w:rsidR="005329E9" w:rsidRDefault="005329E9">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REB Review of Recruitment Methods</w:t>
      </w:r>
      <w:r>
        <w:tab/>
      </w:r>
      <w:r>
        <w:fldChar w:fldCharType="begin"/>
      </w:r>
      <w:r>
        <w:instrText xml:space="preserve"> PAGEREF _Toc151529007 \h </w:instrText>
      </w:r>
      <w:r>
        <w:fldChar w:fldCharType="separate"/>
      </w:r>
      <w:r>
        <w:t>3</w:t>
      </w:r>
      <w:r>
        <w:fldChar w:fldCharType="end"/>
      </w:r>
    </w:p>
    <w:p w14:paraId="4EB87B6E" w14:textId="2B0183A9" w:rsidR="005329E9" w:rsidRDefault="005329E9">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REB Review of the Informed Consent Process</w:t>
      </w:r>
      <w:r>
        <w:tab/>
      </w:r>
      <w:r>
        <w:fldChar w:fldCharType="begin"/>
      </w:r>
      <w:r>
        <w:instrText xml:space="preserve"> PAGEREF _Toc151529008 \h </w:instrText>
      </w:r>
      <w:r>
        <w:fldChar w:fldCharType="separate"/>
      </w:r>
      <w:r>
        <w:t>3</w:t>
      </w:r>
      <w:r>
        <w:fldChar w:fldCharType="end"/>
      </w:r>
    </w:p>
    <w:p w14:paraId="166413DD" w14:textId="5E72C368" w:rsidR="005329E9" w:rsidRDefault="005329E9">
      <w:pPr>
        <w:pStyle w:val="TM2"/>
        <w:rPr>
          <w:kern w:val="2"/>
          <w:sz w:val="22"/>
          <w:szCs w:val="22"/>
          <w:lang w:val="fr-CA" w:eastAsia="fr-CA"/>
          <w14:ligatures w14:val="standardContextual"/>
        </w:rPr>
      </w:pPr>
      <w:r>
        <w:t>5.3</w:t>
      </w:r>
      <w:r>
        <w:rPr>
          <w:kern w:val="2"/>
          <w:sz w:val="22"/>
          <w:szCs w:val="22"/>
          <w:lang w:val="fr-CA" w:eastAsia="fr-CA"/>
          <w14:ligatures w14:val="standardContextual"/>
        </w:rPr>
        <w:tab/>
      </w:r>
      <w:r>
        <w:t>REB Review of the Informed Consent Form</w:t>
      </w:r>
      <w:r>
        <w:tab/>
      </w:r>
      <w:r>
        <w:fldChar w:fldCharType="begin"/>
      </w:r>
      <w:r>
        <w:instrText xml:space="preserve"> PAGEREF _Toc151529009 \h </w:instrText>
      </w:r>
      <w:r>
        <w:fldChar w:fldCharType="separate"/>
      </w:r>
      <w:r>
        <w:t>5</w:t>
      </w:r>
      <w:r>
        <w:fldChar w:fldCharType="end"/>
      </w:r>
    </w:p>
    <w:p w14:paraId="185AC427" w14:textId="41C04A5D" w:rsidR="005329E9" w:rsidRDefault="005329E9">
      <w:pPr>
        <w:pStyle w:val="TM2"/>
        <w:rPr>
          <w:kern w:val="2"/>
          <w:sz w:val="22"/>
          <w:szCs w:val="22"/>
          <w:lang w:val="fr-CA" w:eastAsia="fr-CA"/>
          <w14:ligatures w14:val="standardContextual"/>
        </w:rPr>
      </w:pPr>
      <w:r>
        <w:t>5.4</w:t>
      </w:r>
      <w:r>
        <w:rPr>
          <w:kern w:val="2"/>
          <w:sz w:val="22"/>
          <w:szCs w:val="22"/>
          <w:lang w:val="fr-CA" w:eastAsia="fr-CA"/>
          <w14:ligatures w14:val="standardContextual"/>
        </w:rPr>
        <w:tab/>
      </w:r>
      <w:r>
        <w:t>Language Requirements for Informed Consent</w:t>
      </w:r>
      <w:r>
        <w:tab/>
      </w:r>
      <w:r>
        <w:fldChar w:fldCharType="begin"/>
      </w:r>
      <w:r>
        <w:instrText xml:space="preserve"> PAGEREF _Toc151529010 \h </w:instrText>
      </w:r>
      <w:r>
        <w:fldChar w:fldCharType="separate"/>
      </w:r>
      <w:r>
        <w:t>7</w:t>
      </w:r>
      <w:r>
        <w:fldChar w:fldCharType="end"/>
      </w:r>
    </w:p>
    <w:p w14:paraId="6D23CEDA" w14:textId="734C162D" w:rsidR="005329E9" w:rsidRDefault="005329E9">
      <w:pPr>
        <w:pStyle w:val="TM2"/>
        <w:rPr>
          <w:kern w:val="2"/>
          <w:sz w:val="22"/>
          <w:szCs w:val="22"/>
          <w:lang w:val="fr-CA" w:eastAsia="fr-CA"/>
          <w14:ligatures w14:val="standardContextual"/>
        </w:rPr>
      </w:pPr>
      <w:r>
        <w:t>5.5</w:t>
      </w:r>
      <w:r>
        <w:rPr>
          <w:kern w:val="2"/>
          <w:sz w:val="22"/>
          <w:szCs w:val="22"/>
          <w:lang w:val="fr-CA" w:eastAsia="fr-CA"/>
          <w14:ligatures w14:val="standardContextual"/>
        </w:rPr>
        <w:tab/>
      </w:r>
      <w:r>
        <w:t>Changes to Information Relevant to Consent for Ongoing and Completed Research Participants</w:t>
      </w:r>
      <w:r>
        <w:tab/>
      </w:r>
      <w:r>
        <w:fldChar w:fldCharType="begin"/>
      </w:r>
      <w:r>
        <w:instrText xml:space="preserve"> PAGEREF _Toc151529011 \h </w:instrText>
      </w:r>
      <w:r>
        <w:fldChar w:fldCharType="separate"/>
      </w:r>
      <w:r>
        <w:t>7</w:t>
      </w:r>
      <w:r>
        <w:fldChar w:fldCharType="end"/>
      </w:r>
    </w:p>
    <w:p w14:paraId="11C3745D" w14:textId="0BC92EC3" w:rsidR="005329E9" w:rsidRDefault="005329E9">
      <w:pPr>
        <w:pStyle w:val="TM2"/>
        <w:rPr>
          <w:kern w:val="2"/>
          <w:sz w:val="22"/>
          <w:szCs w:val="22"/>
          <w:lang w:val="fr-CA" w:eastAsia="fr-CA"/>
          <w14:ligatures w14:val="standardContextual"/>
        </w:rPr>
      </w:pPr>
      <w:r>
        <w:t>5.6</w:t>
      </w:r>
      <w:r>
        <w:rPr>
          <w:kern w:val="2"/>
          <w:sz w:val="22"/>
          <w:szCs w:val="22"/>
          <w:lang w:val="fr-CA" w:eastAsia="fr-CA"/>
          <w14:ligatures w14:val="standardContextual"/>
        </w:rPr>
        <w:tab/>
      </w:r>
      <w:r>
        <w:t>Waiver or Alteration of Informed Consent</w:t>
      </w:r>
      <w:r>
        <w:tab/>
      </w:r>
      <w:r>
        <w:fldChar w:fldCharType="begin"/>
      </w:r>
      <w:r>
        <w:instrText xml:space="preserve"> PAGEREF _Toc151529012 \h </w:instrText>
      </w:r>
      <w:r>
        <w:fldChar w:fldCharType="separate"/>
      </w:r>
      <w:r>
        <w:t>8</w:t>
      </w:r>
      <w:r>
        <w:fldChar w:fldCharType="end"/>
      </w:r>
    </w:p>
    <w:p w14:paraId="1253CE4F" w14:textId="736769C6" w:rsidR="005329E9" w:rsidRDefault="005329E9">
      <w:pPr>
        <w:pStyle w:val="TM2"/>
        <w:rPr>
          <w:kern w:val="2"/>
          <w:sz w:val="22"/>
          <w:szCs w:val="22"/>
          <w:lang w:val="fr-CA" w:eastAsia="fr-CA"/>
          <w14:ligatures w14:val="standardContextual"/>
        </w:rPr>
      </w:pPr>
      <w:r>
        <w:t>5.7</w:t>
      </w:r>
      <w:r>
        <w:rPr>
          <w:kern w:val="2"/>
          <w:sz w:val="22"/>
          <w:szCs w:val="22"/>
          <w:lang w:val="fr-CA" w:eastAsia="fr-CA"/>
          <w14:ligatures w14:val="standardContextual"/>
        </w:rPr>
        <w:tab/>
      </w:r>
      <w:r>
        <w:t>Consent for Research Involving Individuals Who Lack Capacity</w:t>
      </w:r>
      <w:r>
        <w:tab/>
      </w:r>
      <w:r>
        <w:fldChar w:fldCharType="begin"/>
      </w:r>
      <w:r>
        <w:instrText xml:space="preserve"> PAGEREF _Toc151529013 \h </w:instrText>
      </w:r>
      <w:r>
        <w:fldChar w:fldCharType="separate"/>
      </w:r>
      <w:r>
        <w:t>9</w:t>
      </w:r>
      <w:r>
        <w:fldChar w:fldCharType="end"/>
      </w:r>
    </w:p>
    <w:p w14:paraId="341E5ADB" w14:textId="4D4D6514" w:rsidR="005329E9" w:rsidRDefault="005329E9">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_Toc151529014 \h </w:instrText>
      </w:r>
      <w:r>
        <w:fldChar w:fldCharType="separate"/>
      </w:r>
      <w:r>
        <w:t>10</w:t>
      </w:r>
      <w:r>
        <w:fldChar w:fldCharType="end"/>
      </w:r>
    </w:p>
    <w:p w14:paraId="0B905935" w14:textId="1E7A129C" w:rsidR="005329E9" w:rsidRDefault="005329E9">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_Toc151529015 \h </w:instrText>
      </w:r>
      <w:r>
        <w:fldChar w:fldCharType="separate"/>
      </w:r>
      <w:r>
        <w:t>10</w:t>
      </w:r>
      <w:r>
        <w:fldChar w:fldCharType="end"/>
      </w:r>
    </w:p>
    <w:p w14:paraId="3BBAEAF8" w14:textId="0D40D93B" w:rsidR="005329E9" w:rsidRDefault="005329E9">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_Toc151529016 \h </w:instrText>
      </w:r>
      <w:r>
        <w:fldChar w:fldCharType="separate"/>
      </w:r>
      <w:r>
        <w:t>10</w:t>
      </w:r>
      <w:r>
        <w:fldChar w:fldCharType="end"/>
      </w:r>
    </w:p>
    <w:p w14:paraId="278781FF" w14:textId="0CD50616" w:rsidR="002B5BA5" w:rsidRPr="006C496E" w:rsidRDefault="0030269A" w:rsidP="002C1840">
      <w:r w:rsidRPr="006C496E">
        <w:rPr>
          <w:rFonts w:eastAsiaTheme="minorEastAsia" w:cstheme="minorHAnsi"/>
          <w:lang w:eastAsia="fr-FR"/>
        </w:rPr>
        <w:fldChar w:fldCharType="end"/>
      </w:r>
    </w:p>
    <w:p w14:paraId="1492DB92" w14:textId="77777777" w:rsidR="00B66BD6" w:rsidRPr="006C496E" w:rsidRDefault="00756C58" w:rsidP="002C1840">
      <w:pPr>
        <w:pStyle w:val="Titre1"/>
        <w:widowControl/>
      </w:pPr>
      <w:bookmarkStart w:id="0" w:name="_Toc151529002"/>
      <w:r w:rsidRPr="006C496E">
        <w:lastRenderedPageBreak/>
        <w:t>Purpose</w:t>
      </w:r>
      <w:bookmarkEnd w:id="0"/>
    </w:p>
    <w:p w14:paraId="60FE31E6" w14:textId="1EC3BA49" w:rsidR="00665846" w:rsidRPr="006C496E" w:rsidRDefault="00665846" w:rsidP="002C1840">
      <w:r w:rsidRPr="006C496E">
        <w:t xml:space="preserve">This standard operating procedure (SOP) describes the requirements for recruitment and informed consent (including waiver thereof), as well as the </w:t>
      </w:r>
      <w:r w:rsidR="00A269DC" w:rsidRPr="006C496E">
        <w:t>Research Ethics Board (</w:t>
      </w:r>
      <w:r w:rsidRPr="006C496E">
        <w:t>REB</w:t>
      </w:r>
      <w:r w:rsidR="00A269DC" w:rsidRPr="006C496E">
        <w:t>)</w:t>
      </w:r>
      <w:r w:rsidRPr="006C496E">
        <w:t xml:space="preserve"> review </w:t>
      </w:r>
      <w:r w:rsidRPr="006C496E">
        <w:t>of these requirements.</w:t>
      </w:r>
    </w:p>
    <w:p w14:paraId="12CD37CC" w14:textId="77777777" w:rsidR="00756C58" w:rsidRPr="006C496E" w:rsidRDefault="00756C58" w:rsidP="002C1840">
      <w:pPr>
        <w:pStyle w:val="Titre1"/>
        <w:widowControl/>
      </w:pPr>
      <w:bookmarkStart w:id="1" w:name="_Toc151529003"/>
      <w:r w:rsidRPr="006C496E">
        <w:t>Scope</w:t>
      </w:r>
      <w:bookmarkEnd w:id="1"/>
    </w:p>
    <w:p w14:paraId="65E24E85" w14:textId="2ADBDBF1" w:rsidR="002E18ED" w:rsidRPr="006C496E" w:rsidRDefault="00665846" w:rsidP="002C1840">
      <w:r w:rsidRPr="006C496E">
        <w:t>This SOP pertains to REBs that review human participant research in compliance with applicable regulations and</w:t>
      </w:r>
      <w:r w:rsidR="00AB4EE7" w:rsidRPr="006C496E">
        <w:t> </w:t>
      </w:r>
      <w:r w:rsidRPr="006C496E">
        <w:t>guidelines.</w:t>
      </w:r>
    </w:p>
    <w:p w14:paraId="35EB341C" w14:textId="77777777" w:rsidR="00756C58" w:rsidRPr="006C496E" w:rsidRDefault="002E18ED" w:rsidP="002C1840">
      <w:pPr>
        <w:pStyle w:val="Titre1"/>
        <w:widowControl/>
      </w:pPr>
      <w:bookmarkStart w:id="2" w:name="_Toc151529004"/>
      <w:r w:rsidRPr="006C496E">
        <w:t>R</w:t>
      </w:r>
      <w:r w:rsidR="00756C58" w:rsidRPr="006C496E">
        <w:t>esponsibilities</w:t>
      </w:r>
      <w:bookmarkEnd w:id="2"/>
    </w:p>
    <w:p w14:paraId="1B3AF050" w14:textId="77777777" w:rsidR="00665846" w:rsidRPr="006C496E" w:rsidRDefault="00665846" w:rsidP="002C1840">
      <w:r w:rsidRPr="006C496E">
        <w:t>All REB members and designated REB staff are responsible for ensuring that the requirements of this SOP are met.</w:t>
      </w:r>
    </w:p>
    <w:p w14:paraId="14A3DDCB" w14:textId="77777777" w:rsidR="00665846" w:rsidRPr="006C496E" w:rsidRDefault="00665846" w:rsidP="002C1840">
      <w:pPr>
        <w:keepNext/>
      </w:pPr>
      <w:r w:rsidRPr="006C496E">
        <w:t>The Researcher is responsible for providing the REB with:</w:t>
      </w:r>
    </w:p>
    <w:p w14:paraId="6D808478" w14:textId="77777777" w:rsidR="00665846" w:rsidRPr="006C496E" w:rsidRDefault="00665846" w:rsidP="0092174E">
      <w:pPr>
        <w:pStyle w:val="SOPBulletA"/>
        <w:ind w:left="567" w:hanging="567"/>
      </w:pPr>
      <w:r w:rsidRPr="006C496E">
        <w:t xml:space="preserve">Informed consent form in accordance with institutional templates, </w:t>
      </w:r>
    </w:p>
    <w:p w14:paraId="7666D39F" w14:textId="74EC8144" w:rsidR="00665846" w:rsidRPr="006C496E" w:rsidRDefault="00665846" w:rsidP="0092174E">
      <w:pPr>
        <w:pStyle w:val="SOPBulletA"/>
        <w:ind w:left="567" w:hanging="567"/>
      </w:pPr>
      <w:r w:rsidRPr="006C496E">
        <w:t>A description of the recruitment methods and recruitment materials (if applicable), including all promotional materials</w:t>
      </w:r>
      <w:r w:rsidRPr="006C496E">
        <w:rPr>
          <w:vertAlign w:val="superscript"/>
        </w:rPr>
        <w:footnoteReference w:id="1"/>
      </w:r>
      <w:r w:rsidRPr="006C496E">
        <w:t xml:space="preserve"> and social media components,</w:t>
      </w:r>
    </w:p>
    <w:p w14:paraId="61D1677B" w14:textId="77777777" w:rsidR="00665846" w:rsidRPr="006C496E" w:rsidRDefault="00665846" w:rsidP="0092174E">
      <w:pPr>
        <w:pStyle w:val="SOPBulletA"/>
        <w:ind w:left="567" w:hanging="567"/>
      </w:pPr>
      <w:r w:rsidRPr="006C496E">
        <w:t>A description of the informed consent process, with relevant forms,</w:t>
      </w:r>
      <w:r w:rsidRPr="006C496E">
        <w:rPr>
          <w:vertAlign w:val="superscript"/>
        </w:rPr>
        <w:footnoteReference w:id="2"/>
      </w:r>
    </w:p>
    <w:p w14:paraId="397BC91A" w14:textId="0CB4161B" w:rsidR="002E18ED" w:rsidRPr="006C496E" w:rsidRDefault="00665846" w:rsidP="0092174E">
      <w:pPr>
        <w:pStyle w:val="SOPBulletA"/>
        <w:ind w:left="567" w:hanging="567"/>
      </w:pPr>
      <w:r w:rsidRPr="006C496E">
        <w:t>Justification for any request for waiver of the usual consent process</w:t>
      </w:r>
      <w:r w:rsidR="00567B4B" w:rsidRPr="006C496E">
        <w:t>.</w:t>
      </w:r>
      <w:r w:rsidR="00BA727C" w:rsidRPr="006C496E">
        <w:rPr>
          <w:rStyle w:val="Appelnotedebasdep"/>
        </w:rPr>
        <w:footnoteReference w:id="3"/>
      </w:r>
    </w:p>
    <w:p w14:paraId="5CDEC81B" w14:textId="77777777" w:rsidR="00665846" w:rsidRPr="006C496E" w:rsidRDefault="00665846" w:rsidP="002C1840">
      <w:r w:rsidRPr="006C496E">
        <w:t xml:space="preserve">The Researcher and the research Sponsor, if any, are jointly responsible for ensuring that the consent form contains </w:t>
      </w:r>
      <w:proofErr w:type="gramStart"/>
      <w:r w:rsidRPr="006C496E">
        <w:t>all of</w:t>
      </w:r>
      <w:proofErr w:type="gramEnd"/>
      <w:r w:rsidRPr="006C496E">
        <w:t xml:space="preserve"> the required elements. The REB is responsible for verifying that the consent form (if applicable) contains the required elements.</w:t>
      </w:r>
    </w:p>
    <w:p w14:paraId="0F24A79E" w14:textId="77777777" w:rsidR="00665846" w:rsidRPr="006C496E" w:rsidRDefault="00665846" w:rsidP="002C1840">
      <w:r w:rsidRPr="006C496E">
        <w:t>The REB is responsible for determining whether</w:t>
      </w:r>
      <w:r w:rsidRPr="006C496E">
        <w:rPr>
          <w:vertAlign w:val="superscript"/>
        </w:rPr>
        <w:footnoteReference w:id="4"/>
      </w:r>
      <w:r w:rsidRPr="006C496E">
        <w:t xml:space="preserve">: </w:t>
      </w:r>
    </w:p>
    <w:p w14:paraId="0C3F135F" w14:textId="77777777" w:rsidR="00665846" w:rsidRPr="006C496E" w:rsidRDefault="00665846" w:rsidP="0092174E">
      <w:pPr>
        <w:pStyle w:val="SOPBulletA"/>
        <w:ind w:left="567" w:hanging="567"/>
      </w:pPr>
      <w:r w:rsidRPr="006C496E">
        <w:t>Recruitment methods are appropriate,</w:t>
      </w:r>
    </w:p>
    <w:p w14:paraId="6AD6D51D" w14:textId="77777777" w:rsidR="00665846" w:rsidRPr="006C496E" w:rsidRDefault="00665846" w:rsidP="0092174E">
      <w:pPr>
        <w:pStyle w:val="SOPBulletA"/>
        <w:ind w:left="567" w:hanging="567"/>
      </w:pPr>
      <w:r w:rsidRPr="006C496E">
        <w:t xml:space="preserve">The informed consent process meets ethical and legal requirements, </w:t>
      </w:r>
    </w:p>
    <w:p w14:paraId="4EBA9CD1" w14:textId="77777777" w:rsidR="00665846" w:rsidRPr="006C496E" w:rsidRDefault="00665846" w:rsidP="0092174E">
      <w:pPr>
        <w:pStyle w:val="SOPBulletA"/>
        <w:ind w:left="567" w:hanging="567"/>
      </w:pPr>
      <w:r w:rsidRPr="006C496E">
        <w:t>Informed consent exemptions or waivers are acceptable,</w:t>
      </w:r>
    </w:p>
    <w:p w14:paraId="681ECB53" w14:textId="302803A4" w:rsidR="00665846" w:rsidRPr="006C496E" w:rsidRDefault="00665846" w:rsidP="0092174E">
      <w:pPr>
        <w:pStyle w:val="SOPBulletA"/>
        <w:ind w:left="567" w:hanging="567"/>
      </w:pPr>
      <w:r w:rsidRPr="006C496E">
        <w:t xml:space="preserve">The </w:t>
      </w:r>
      <w:r w:rsidR="00BA727C" w:rsidRPr="006C496E">
        <w:t xml:space="preserve">information and </w:t>
      </w:r>
      <w:r w:rsidRPr="006C496E">
        <w:t>consent form contains all the required elements.</w:t>
      </w:r>
    </w:p>
    <w:p w14:paraId="006B2159" w14:textId="77777777" w:rsidR="00756C58" w:rsidRPr="006C496E" w:rsidRDefault="002E18ED" w:rsidP="002C1840">
      <w:pPr>
        <w:pStyle w:val="Titre1"/>
        <w:widowControl/>
      </w:pPr>
      <w:bookmarkStart w:id="3" w:name="_Toc151529005"/>
      <w:r w:rsidRPr="006C496E">
        <w:lastRenderedPageBreak/>
        <w:t>D</w:t>
      </w:r>
      <w:r w:rsidR="00756C58" w:rsidRPr="006C496E">
        <w:t>efinitions</w:t>
      </w:r>
      <w:bookmarkEnd w:id="3"/>
    </w:p>
    <w:p w14:paraId="28EAFFEB" w14:textId="77777777" w:rsidR="002E18ED" w:rsidRPr="006C496E" w:rsidRDefault="00A313CE" w:rsidP="002C1840">
      <w:r w:rsidRPr="006C496E">
        <w:t>See Glossary of Terms.</w:t>
      </w:r>
    </w:p>
    <w:p w14:paraId="5A6890C5" w14:textId="77777777" w:rsidR="00756C58" w:rsidRPr="006C496E" w:rsidRDefault="002E18ED" w:rsidP="002C1840">
      <w:pPr>
        <w:pStyle w:val="Titre1"/>
        <w:widowControl/>
      </w:pPr>
      <w:bookmarkStart w:id="4" w:name="_Toc151529006"/>
      <w:r w:rsidRPr="006C496E">
        <w:t>P</w:t>
      </w:r>
      <w:r w:rsidR="00756C58" w:rsidRPr="006C496E">
        <w:t>rocedures</w:t>
      </w:r>
      <w:bookmarkEnd w:id="4"/>
    </w:p>
    <w:p w14:paraId="7886B5F5" w14:textId="77777777" w:rsidR="00665846" w:rsidRPr="006C496E" w:rsidRDefault="00665846" w:rsidP="002C1840">
      <w:r w:rsidRPr="006C496E">
        <w:t>All procedures and documents concerning recruitment and consent must be described, justified, and submitted to REB review in accordance with the REB SOP on Initial Review.</w:t>
      </w:r>
      <w:r w:rsidRPr="006C496E">
        <w:rPr>
          <w:vertAlign w:val="superscript"/>
        </w:rPr>
        <w:footnoteReference w:id="5"/>
      </w:r>
    </w:p>
    <w:p w14:paraId="7EBEAEE5" w14:textId="77777777" w:rsidR="00665846" w:rsidRPr="006C496E" w:rsidRDefault="00665846" w:rsidP="002C1840">
      <w:pPr>
        <w:pStyle w:val="Titre2"/>
        <w:widowControl/>
      </w:pPr>
      <w:bookmarkStart w:id="5" w:name="_Toc151529007"/>
      <w:r w:rsidRPr="006C496E">
        <w:t>REB Review of Recruitment Methods</w:t>
      </w:r>
      <w:bookmarkEnd w:id="5"/>
    </w:p>
    <w:p w14:paraId="1D7C1FA5" w14:textId="0A2080D3" w:rsidR="00665846" w:rsidRPr="006C496E" w:rsidRDefault="00665846" w:rsidP="002C1840">
      <w:pPr>
        <w:pStyle w:val="Titre3"/>
        <w:widowControl/>
      </w:pPr>
      <w:r w:rsidRPr="006C496E">
        <w:t xml:space="preserve">Recruitment methods should be adapted to research objectives and to potential participants. When potential participants are also patients of the </w:t>
      </w:r>
      <w:r w:rsidR="00BA727C" w:rsidRPr="006C496E">
        <w:t>R</w:t>
      </w:r>
      <w:r w:rsidRPr="006C496E">
        <w:t xml:space="preserve">esearcher, measures must be taken to minimize therapeutic misconception. Special precautions must be taken when recruiting vulnerable individuals to ensure freedom of </w:t>
      </w:r>
      <w:proofErr w:type="gramStart"/>
      <w:r w:rsidRPr="006C496E">
        <w:t>participation;</w:t>
      </w:r>
      <w:proofErr w:type="gramEnd"/>
    </w:p>
    <w:p w14:paraId="72E12C05" w14:textId="7E23FF0C" w:rsidR="00665846" w:rsidRPr="006C496E" w:rsidRDefault="00665846" w:rsidP="002C1840">
      <w:pPr>
        <w:pStyle w:val="Titre3"/>
        <w:widowControl/>
      </w:pPr>
      <w:r w:rsidRPr="006C496E">
        <w:t xml:space="preserve">A </w:t>
      </w:r>
      <w:r w:rsidR="00BA727C" w:rsidRPr="006C496E">
        <w:t>R</w:t>
      </w:r>
      <w:r w:rsidRPr="006C496E">
        <w:t>esearcher in a therapeutic relationship with potential participants may approach patients directly, but in no way should they feel pressured or under any obligation to take part in the study. In such cases, consent should be obtained by someone other than the Researcher. "Ideally, treatment and research functions should be performed by different people. However, there may be instances in which the participants’ best interests are served by having their primary care clinician involved in recruitment and consent. In these cases, the research proposal shall indicate what other measures will be taken to minimize therapeutic misconceptio</w:t>
      </w:r>
      <w:r w:rsidR="00357454" w:rsidRPr="006C496E">
        <w:t>n”</w:t>
      </w:r>
      <w:r w:rsidRPr="006C496E">
        <w:rPr>
          <w:vertAlign w:val="superscript"/>
        </w:rPr>
        <w:footnoteReference w:id="6"/>
      </w:r>
      <w:r w:rsidRPr="006C496E">
        <w:t>;</w:t>
      </w:r>
    </w:p>
    <w:p w14:paraId="3BBD359E" w14:textId="77777777" w:rsidR="00665846" w:rsidRPr="006C496E" w:rsidRDefault="00665846" w:rsidP="002C1840">
      <w:pPr>
        <w:pStyle w:val="Titre3"/>
        <w:widowControl/>
      </w:pPr>
      <w:r w:rsidRPr="006C496E">
        <w:t xml:space="preserve">The research project can be advertised to the public by various means, including social media, posters, and </w:t>
      </w:r>
      <w:proofErr w:type="gramStart"/>
      <w:r w:rsidRPr="006C496E">
        <w:t>conferences;</w:t>
      </w:r>
      <w:proofErr w:type="gramEnd"/>
      <w:r w:rsidRPr="006C496E">
        <w:t xml:space="preserve"> </w:t>
      </w:r>
    </w:p>
    <w:p w14:paraId="06F1F3E1" w14:textId="00C0A923" w:rsidR="00665846" w:rsidRPr="006C496E" w:rsidRDefault="00665846" w:rsidP="002C1840">
      <w:pPr>
        <w:pStyle w:val="Titre3"/>
        <w:widowControl/>
      </w:pPr>
      <w:r w:rsidRPr="006C496E">
        <w:t xml:space="preserve">Potential participants should be contacted by someone from the health care facility where they received </w:t>
      </w:r>
      <w:proofErr w:type="gramStart"/>
      <w:r w:rsidRPr="006C496E">
        <w:t>treatment;</w:t>
      </w:r>
      <w:proofErr w:type="gramEnd"/>
    </w:p>
    <w:p w14:paraId="3E91EC68" w14:textId="06DF1559" w:rsidR="00665846" w:rsidRPr="006C496E" w:rsidRDefault="00665846" w:rsidP="002C1840">
      <w:pPr>
        <w:pStyle w:val="Titre3"/>
        <w:widowControl/>
      </w:pPr>
      <w:r w:rsidRPr="006C496E">
        <w:t>The consultation of medical records to identify patients who might meet eligibility criteria requires either authorization from the Québec Public Health Department (</w:t>
      </w:r>
      <w:r w:rsidRPr="006C496E">
        <w:rPr>
          <w:i/>
        </w:rPr>
        <w:t xml:space="preserve">Direction de la </w:t>
      </w:r>
      <w:proofErr w:type="spellStart"/>
      <w:r w:rsidRPr="006C496E">
        <w:rPr>
          <w:i/>
        </w:rPr>
        <w:t>santé</w:t>
      </w:r>
      <w:proofErr w:type="spellEnd"/>
      <w:r w:rsidRPr="006C496E">
        <w:rPr>
          <w:i/>
        </w:rPr>
        <w:t xml:space="preserve"> </w:t>
      </w:r>
      <w:proofErr w:type="spellStart"/>
      <w:r w:rsidRPr="006C496E">
        <w:rPr>
          <w:i/>
        </w:rPr>
        <w:t>publique</w:t>
      </w:r>
      <w:proofErr w:type="spellEnd"/>
      <w:r w:rsidRPr="006C496E">
        <w:rPr>
          <w:i/>
        </w:rPr>
        <w:t xml:space="preserve"> du Québec</w:t>
      </w:r>
      <w:r w:rsidRPr="006C496E">
        <w:t>) or consent.</w:t>
      </w:r>
      <w:r w:rsidR="00BA727C" w:rsidRPr="006C496E">
        <w:rPr>
          <w:rStyle w:val="Appelnotedebasdep"/>
        </w:rPr>
        <w:footnoteReference w:id="7"/>
      </w:r>
    </w:p>
    <w:p w14:paraId="1A404147" w14:textId="77777777" w:rsidR="00665846" w:rsidRPr="006C496E" w:rsidRDefault="00665846" w:rsidP="002C1840">
      <w:pPr>
        <w:pStyle w:val="Titre2"/>
        <w:widowControl/>
      </w:pPr>
      <w:bookmarkStart w:id="7" w:name="_Toc151529008"/>
      <w:r w:rsidRPr="006C496E">
        <w:t>REB Review of the Informed Consent Process</w:t>
      </w:r>
      <w:bookmarkEnd w:id="7"/>
    </w:p>
    <w:p w14:paraId="749B505B" w14:textId="77777777" w:rsidR="00665846" w:rsidRPr="006C496E" w:rsidRDefault="00665846" w:rsidP="002C1840">
      <w:pPr>
        <w:pStyle w:val="Titre3"/>
        <w:widowControl/>
      </w:pPr>
      <w:r w:rsidRPr="006C496E">
        <w:t xml:space="preserve">The consent process should be adapted to research objectives and to potential participants. When potential participants are also patients of the Clinician-researcher, measures must be taken to </w:t>
      </w:r>
      <w:r w:rsidRPr="006C496E">
        <w:lastRenderedPageBreak/>
        <w:t xml:space="preserve">minimize therapeutic misconception. Special precautions must be taken during the consent process when recruiting vulnerable individuals, to ensure freedom of </w:t>
      </w:r>
      <w:proofErr w:type="gramStart"/>
      <w:r w:rsidRPr="006C496E">
        <w:t>participation;</w:t>
      </w:r>
      <w:proofErr w:type="gramEnd"/>
    </w:p>
    <w:p w14:paraId="4FF22358" w14:textId="77777777" w:rsidR="00665846" w:rsidRPr="006C496E" w:rsidRDefault="00665846" w:rsidP="002C1840">
      <w:pPr>
        <w:pStyle w:val="Titre3"/>
        <w:widowControl/>
      </w:pPr>
      <w:r w:rsidRPr="006C496E">
        <w:t xml:space="preserve">REB members will review the proposed consent process to ensure that it follows institutional guidelines and all applicable </w:t>
      </w:r>
      <w:proofErr w:type="gramStart"/>
      <w:r w:rsidRPr="006C496E">
        <w:t>regulations;</w:t>
      </w:r>
      <w:proofErr w:type="gramEnd"/>
    </w:p>
    <w:p w14:paraId="7921DD64" w14:textId="77777777" w:rsidR="00665846" w:rsidRPr="006C496E" w:rsidRDefault="00665846" w:rsidP="002C1840">
      <w:pPr>
        <w:pStyle w:val="Titre3"/>
        <w:widowControl/>
      </w:pPr>
      <w:r w:rsidRPr="006C496E">
        <w:t>An REB review of the proposed consent process includes the following:</w:t>
      </w:r>
    </w:p>
    <w:p w14:paraId="23373EDD" w14:textId="77777777" w:rsidR="00665846" w:rsidRPr="006C496E" w:rsidRDefault="00665846" w:rsidP="0092174E">
      <w:pPr>
        <w:pStyle w:val="SOPBulletC"/>
        <w:ind w:left="1560"/>
      </w:pPr>
      <w:r w:rsidRPr="006C496E">
        <w:t>Components of the recruitment process: how, when, where, and by whom potential participants are to be contacted, including any and all materials used (</w:t>
      </w:r>
      <w:proofErr w:type="gramStart"/>
      <w:r w:rsidRPr="006C496E">
        <w:t>e.g.</w:t>
      </w:r>
      <w:proofErr w:type="gramEnd"/>
      <w:r w:rsidRPr="006C496E">
        <w:t xml:space="preserve"> research fact sheets),</w:t>
      </w:r>
      <w:r w:rsidRPr="006C496E">
        <w:rPr>
          <w:vertAlign w:val="superscript"/>
        </w:rPr>
        <w:footnoteReference w:id="8"/>
      </w:r>
    </w:p>
    <w:p w14:paraId="19736FBE" w14:textId="77777777" w:rsidR="00665846" w:rsidRPr="006C496E" w:rsidRDefault="00665846" w:rsidP="0092174E">
      <w:pPr>
        <w:pStyle w:val="SOPBulletC"/>
        <w:ind w:left="1560"/>
      </w:pPr>
      <w:r w:rsidRPr="006C496E">
        <w:t>Potential undue influence (power relationship, trust, dependency), evidence of coercion or incentives leading to underestimation of potential research risks, that could undermine free and informed consent,</w:t>
      </w:r>
      <w:r w:rsidRPr="006C496E">
        <w:rPr>
          <w:vertAlign w:val="superscript"/>
        </w:rPr>
        <w:footnoteReference w:id="9"/>
      </w:r>
    </w:p>
    <w:p w14:paraId="7C927C20" w14:textId="3742A02B" w:rsidR="00665846" w:rsidRPr="006C496E" w:rsidRDefault="00665846" w:rsidP="0092174E">
      <w:pPr>
        <w:pStyle w:val="SOPBulletC"/>
        <w:ind w:left="1560"/>
      </w:pPr>
      <w:proofErr w:type="gramStart"/>
      <w:r w:rsidRPr="006C496E">
        <w:t>Manner in which</w:t>
      </w:r>
      <w:proofErr w:type="gramEnd"/>
      <w:r w:rsidRPr="006C496E">
        <w:t xml:space="preserve"> the research is to be advertised,</w:t>
      </w:r>
    </w:p>
    <w:p w14:paraId="1AB0C8FE" w14:textId="77777777" w:rsidR="00665846" w:rsidRPr="006C496E" w:rsidRDefault="00665846" w:rsidP="0092174E">
      <w:pPr>
        <w:pStyle w:val="SOPBulletC"/>
        <w:ind w:left="1560"/>
      </w:pPr>
      <w:r w:rsidRPr="006C496E">
        <w:t>Specific measures related to the translation or interpretation of informed consent documents, in accordance with paragraph 5.4 of this SOP,</w:t>
      </w:r>
    </w:p>
    <w:p w14:paraId="0B1B8B5F" w14:textId="77777777" w:rsidR="00665846" w:rsidRPr="006C496E" w:rsidRDefault="00665846" w:rsidP="0092174E">
      <w:pPr>
        <w:pStyle w:val="SOPBulletC"/>
        <w:ind w:left="1560"/>
      </w:pPr>
      <w:r w:rsidRPr="006C496E">
        <w:t xml:space="preserve">Specific and exceptional measures for safeguarding participant safety and privacy, </w:t>
      </w:r>
    </w:p>
    <w:p w14:paraId="3ABE7FD9" w14:textId="3007D5DE" w:rsidR="00665846" w:rsidRPr="006C496E" w:rsidRDefault="00665846" w:rsidP="0092174E">
      <w:pPr>
        <w:pStyle w:val="SOPBulletC"/>
        <w:ind w:left="1560"/>
      </w:pPr>
      <w:r w:rsidRPr="006C496E">
        <w:t xml:space="preserve">The Researcher’s plans regarding the identification and disclosure of incidental </w:t>
      </w:r>
      <w:proofErr w:type="gramStart"/>
      <w:r w:rsidRPr="006C496E">
        <w:t>findings, if</w:t>
      </w:r>
      <w:proofErr w:type="gramEnd"/>
      <w:r w:rsidRPr="006C496E">
        <w:t xml:space="preserve"> any</w:t>
      </w:r>
      <w:r w:rsidR="00F32160" w:rsidRPr="006C496E">
        <w:rPr>
          <w:rStyle w:val="Appelnotedebasdep"/>
        </w:rPr>
        <w:footnoteReference w:id="10"/>
      </w:r>
      <w:r w:rsidRPr="006C496E">
        <w:t>;</w:t>
      </w:r>
    </w:p>
    <w:p w14:paraId="38F08BEB" w14:textId="77777777" w:rsidR="00665846" w:rsidRPr="006C496E" w:rsidRDefault="00665846" w:rsidP="002C1840">
      <w:pPr>
        <w:pStyle w:val="Titre3"/>
        <w:widowControl/>
      </w:pPr>
      <w:r w:rsidRPr="006C496E">
        <w:t>The REB usually requires written consent</w:t>
      </w:r>
      <w:r w:rsidRPr="006C496E">
        <w:rPr>
          <w:vertAlign w:val="superscript"/>
        </w:rPr>
        <w:footnoteReference w:id="11"/>
      </w:r>
      <w:r w:rsidRPr="006C496E">
        <w:t xml:space="preserve"> on an REB-approved informed consent form, dated and signed by the participant or legal representative thereof and the person obtaining consent. Other means of obtaining consent (oral consent, deferred consent, field notes, implied consent by return of a questionnaire) may nonetheless be approved by the REB under certain circumstances</w:t>
      </w:r>
      <w:r w:rsidRPr="006C496E">
        <w:rPr>
          <w:vertAlign w:val="superscript"/>
        </w:rPr>
        <w:footnoteReference w:id="12"/>
      </w:r>
      <w:r w:rsidRPr="006C496E">
        <w:t>;</w:t>
      </w:r>
    </w:p>
    <w:p w14:paraId="1DF20046" w14:textId="12076B3D" w:rsidR="00665846" w:rsidRPr="006C496E" w:rsidRDefault="00665846" w:rsidP="002C1840">
      <w:pPr>
        <w:pStyle w:val="Titre3"/>
        <w:widowControl/>
      </w:pPr>
      <w:r w:rsidRPr="006C496E">
        <w:t xml:space="preserve">Minors aged 14 years and over may consent on their own to participate in a research study, if according to the REB, the risk is minimal and circumstances </w:t>
      </w:r>
      <w:proofErr w:type="gramStart"/>
      <w:r w:rsidRPr="006C496E">
        <w:t>permit;</w:t>
      </w:r>
      <w:proofErr w:type="gramEnd"/>
    </w:p>
    <w:p w14:paraId="154751B5" w14:textId="77777777" w:rsidR="00665846" w:rsidRPr="006C496E" w:rsidRDefault="00665846" w:rsidP="002C1840">
      <w:pPr>
        <w:pStyle w:val="Titre3"/>
        <w:widowControl/>
      </w:pPr>
      <w:r w:rsidRPr="006C496E">
        <w:t xml:space="preserve">In cases where research projects involve participants who do not have the capacity to consent, the REB will examine how the consent of the participant’s legal representative is obtained and documented. The REB will ensure that, when required, assent is </w:t>
      </w:r>
      <w:proofErr w:type="gramStart"/>
      <w:r w:rsidRPr="006C496E">
        <w:t>documented;</w:t>
      </w:r>
      <w:proofErr w:type="gramEnd"/>
    </w:p>
    <w:p w14:paraId="300F020D" w14:textId="77777777" w:rsidR="00665846" w:rsidRPr="006C496E" w:rsidRDefault="00665846" w:rsidP="002C1840">
      <w:pPr>
        <w:pStyle w:val="Titre3"/>
        <w:widowControl/>
      </w:pPr>
      <w:r w:rsidRPr="006C496E">
        <w:t xml:space="preserve">The REB may approve the use of any technological means it deems appropriate for the conduct of the consent process and its </w:t>
      </w:r>
      <w:proofErr w:type="gramStart"/>
      <w:r w:rsidRPr="006C496E">
        <w:t>documentation;</w:t>
      </w:r>
      <w:proofErr w:type="gramEnd"/>
    </w:p>
    <w:p w14:paraId="6D7231FC" w14:textId="0F449A9B" w:rsidR="00665846" w:rsidRPr="006C496E" w:rsidRDefault="00665846" w:rsidP="002C1840">
      <w:pPr>
        <w:pStyle w:val="Titre3"/>
        <w:widowControl/>
      </w:pPr>
      <w:r w:rsidRPr="006C496E">
        <w:lastRenderedPageBreak/>
        <w:t>Researchers are not required to obtain participant consent for the secondary use of non-identifying information.</w:t>
      </w:r>
      <w:r w:rsidR="00F32160" w:rsidRPr="006C496E">
        <w:rPr>
          <w:rStyle w:val="Appelnotedebasdep"/>
        </w:rPr>
        <w:footnoteReference w:id="13"/>
      </w:r>
    </w:p>
    <w:p w14:paraId="50DDAD72" w14:textId="77777777" w:rsidR="00665846" w:rsidRPr="006C496E" w:rsidRDefault="00665846" w:rsidP="002C1840">
      <w:pPr>
        <w:pStyle w:val="Titre2"/>
        <w:widowControl/>
      </w:pPr>
      <w:bookmarkStart w:id="8" w:name="_Toc151529009"/>
      <w:r w:rsidRPr="006C496E">
        <w:t>REB Review of the Informed Consent Form</w:t>
      </w:r>
      <w:bookmarkEnd w:id="8"/>
    </w:p>
    <w:p w14:paraId="10D3C86E" w14:textId="77777777" w:rsidR="00665846" w:rsidRPr="006C496E" w:rsidRDefault="00665846" w:rsidP="002C1840">
      <w:pPr>
        <w:pStyle w:val="Titre3"/>
        <w:widowControl/>
      </w:pPr>
      <w:r w:rsidRPr="006C496E">
        <w:t xml:space="preserve">The REB will review proposed informed consent forms for clarity, language level (Grade 8), content, and inclusion of all required </w:t>
      </w:r>
      <w:proofErr w:type="gramStart"/>
      <w:r w:rsidRPr="006C496E">
        <w:t>elements;</w:t>
      </w:r>
      <w:proofErr w:type="gramEnd"/>
    </w:p>
    <w:p w14:paraId="14EEFADA" w14:textId="7B47FA7C" w:rsidR="00665846" w:rsidRPr="006C496E" w:rsidRDefault="00665846" w:rsidP="00BA31E3">
      <w:pPr>
        <w:pStyle w:val="Titre3"/>
        <w:widowControl/>
        <w:numPr>
          <w:ilvl w:val="0"/>
          <w:numId w:val="0"/>
        </w:numPr>
      </w:pPr>
      <w:r w:rsidRPr="006C496E">
        <w:t>The REB will ensure that there is complete disclosure of all information required for informed decision-making. Such information generally includes:</w:t>
      </w:r>
    </w:p>
    <w:p w14:paraId="2F1A2F66" w14:textId="625E60BF" w:rsidR="00665846" w:rsidRPr="006C496E" w:rsidRDefault="00665846">
      <w:pPr>
        <w:pStyle w:val="SOPBulletC"/>
        <w:numPr>
          <w:ilvl w:val="0"/>
          <w:numId w:val="14"/>
        </w:numPr>
        <w:ind w:left="709" w:hanging="567"/>
      </w:pPr>
      <w:r w:rsidRPr="006C496E">
        <w:t>Logo of the institution,</w:t>
      </w:r>
    </w:p>
    <w:p w14:paraId="1A992A5B" w14:textId="1D1EFBA0" w:rsidR="00665846" w:rsidRPr="006C496E" w:rsidRDefault="00665846">
      <w:pPr>
        <w:pStyle w:val="SOPBulletC"/>
        <w:numPr>
          <w:ilvl w:val="0"/>
          <w:numId w:val="14"/>
        </w:numPr>
        <w:ind w:left="709" w:hanging="567"/>
      </w:pPr>
      <w:r w:rsidRPr="006C496E">
        <w:t>Bar code for relevant research information from the patient’s medical records, for security purposes,</w:t>
      </w:r>
    </w:p>
    <w:p w14:paraId="00FAB7C9" w14:textId="77777777" w:rsidR="00665846" w:rsidRPr="006C496E" w:rsidRDefault="00665846">
      <w:pPr>
        <w:pStyle w:val="SOPBulletC"/>
        <w:numPr>
          <w:ilvl w:val="0"/>
          <w:numId w:val="14"/>
        </w:numPr>
        <w:ind w:left="709" w:hanging="567"/>
      </w:pPr>
      <w:r w:rsidRPr="006C496E">
        <w:t>Identity of the Researcher,</w:t>
      </w:r>
    </w:p>
    <w:p w14:paraId="2D693B84" w14:textId="77777777" w:rsidR="00665846" w:rsidRPr="006C496E" w:rsidRDefault="00665846">
      <w:pPr>
        <w:pStyle w:val="SOPBulletC"/>
        <w:numPr>
          <w:ilvl w:val="0"/>
          <w:numId w:val="14"/>
        </w:numPr>
        <w:ind w:left="709" w:hanging="567"/>
      </w:pPr>
      <w:r w:rsidRPr="006C496E">
        <w:t>Identity of the funding agency or Sponsor,</w:t>
      </w:r>
    </w:p>
    <w:p w14:paraId="391CF1D9" w14:textId="77777777" w:rsidR="00665846" w:rsidRPr="006C496E" w:rsidRDefault="00665846">
      <w:pPr>
        <w:pStyle w:val="SOPBulletC"/>
        <w:numPr>
          <w:ilvl w:val="0"/>
          <w:numId w:val="14"/>
        </w:numPr>
        <w:ind w:left="709" w:hanging="567"/>
      </w:pPr>
      <w:r w:rsidRPr="006C496E">
        <w:t>Invitation to participate in a research project,</w:t>
      </w:r>
      <w:r w:rsidRPr="006C496E">
        <w:rPr>
          <w:vertAlign w:val="superscript"/>
        </w:rPr>
        <w:footnoteReference w:id="14"/>
      </w:r>
    </w:p>
    <w:p w14:paraId="2676EE55" w14:textId="056484D5" w:rsidR="00665846" w:rsidRPr="006C496E" w:rsidRDefault="00665846">
      <w:pPr>
        <w:pStyle w:val="SOPBulletC"/>
        <w:numPr>
          <w:ilvl w:val="0"/>
          <w:numId w:val="14"/>
        </w:numPr>
        <w:ind w:left="709" w:hanging="567"/>
      </w:pPr>
      <w:r w:rsidRPr="006C496E">
        <w:t>Statement of research objectives,</w:t>
      </w:r>
      <w:r w:rsidR="007351AD" w:rsidRPr="006C496E">
        <w:rPr>
          <w:rStyle w:val="Appelnotedebasdep"/>
        </w:rPr>
        <w:footnoteReference w:id="15"/>
      </w:r>
    </w:p>
    <w:p w14:paraId="3BA2029A" w14:textId="4B4F706E" w:rsidR="00665846" w:rsidRPr="006C496E" w:rsidRDefault="00665846">
      <w:pPr>
        <w:pStyle w:val="SOPBulletC"/>
        <w:numPr>
          <w:ilvl w:val="0"/>
          <w:numId w:val="14"/>
        </w:numPr>
        <w:ind w:left="709" w:hanging="567"/>
      </w:pPr>
      <w:r w:rsidRPr="006C496E">
        <w:t>Expected duration and nature of participation,</w:t>
      </w:r>
      <w:r w:rsidR="007351AD" w:rsidRPr="006C496E">
        <w:rPr>
          <w:rStyle w:val="Appelnotedebasdep"/>
        </w:rPr>
        <w:footnoteReference w:id="16"/>
      </w:r>
    </w:p>
    <w:p w14:paraId="514AB1F9" w14:textId="56D96989" w:rsidR="00665846" w:rsidRPr="006C496E" w:rsidRDefault="00665846">
      <w:pPr>
        <w:pStyle w:val="SOPBulletC"/>
        <w:numPr>
          <w:ilvl w:val="0"/>
          <w:numId w:val="14"/>
        </w:numPr>
        <w:ind w:left="709" w:hanging="567"/>
      </w:pPr>
      <w:r w:rsidRPr="006C496E">
        <w:t>Description of the research procedures,</w:t>
      </w:r>
      <w:r w:rsidR="007351AD" w:rsidRPr="006C496E">
        <w:rPr>
          <w:rStyle w:val="Appelnotedebasdep"/>
        </w:rPr>
        <w:footnoteReference w:id="17"/>
      </w:r>
    </w:p>
    <w:p w14:paraId="399A8A1B" w14:textId="77777777" w:rsidR="00665846" w:rsidRPr="006C496E" w:rsidRDefault="00665846">
      <w:pPr>
        <w:pStyle w:val="SOPBulletC"/>
        <w:numPr>
          <w:ilvl w:val="0"/>
          <w:numId w:val="14"/>
        </w:numPr>
        <w:ind w:left="709" w:hanging="567"/>
      </w:pPr>
      <w:r w:rsidRPr="006C496E">
        <w:t>Explanation of the responsibilities of the participant, when relevant,</w:t>
      </w:r>
      <w:r w:rsidRPr="006C496E">
        <w:rPr>
          <w:vertAlign w:val="superscript"/>
        </w:rPr>
        <w:footnoteReference w:id="18"/>
      </w:r>
    </w:p>
    <w:p w14:paraId="78B0EFD1" w14:textId="77777777" w:rsidR="00665846" w:rsidRPr="006C496E" w:rsidRDefault="00665846">
      <w:pPr>
        <w:pStyle w:val="SOPBulletC"/>
        <w:numPr>
          <w:ilvl w:val="0"/>
          <w:numId w:val="14"/>
        </w:numPr>
        <w:ind w:left="709" w:hanging="567"/>
      </w:pPr>
      <w:r w:rsidRPr="006C496E">
        <w:t>Description of potential benefits, both to the participants themselves and generally, that may arise from research participation,</w:t>
      </w:r>
      <w:r w:rsidRPr="006C496E">
        <w:rPr>
          <w:vertAlign w:val="superscript"/>
        </w:rPr>
        <w:footnoteReference w:id="19"/>
      </w:r>
    </w:p>
    <w:p w14:paraId="36ED261A" w14:textId="09A3B73A" w:rsidR="00665846" w:rsidRPr="006C496E" w:rsidRDefault="00665846">
      <w:pPr>
        <w:pStyle w:val="SOPBulletC"/>
        <w:numPr>
          <w:ilvl w:val="0"/>
          <w:numId w:val="14"/>
        </w:numPr>
        <w:ind w:left="709" w:hanging="567"/>
      </w:pPr>
      <w:r w:rsidRPr="006C496E">
        <w:t xml:space="preserve">Description of </w:t>
      </w:r>
      <w:proofErr w:type="gramStart"/>
      <w:r w:rsidRPr="006C496E">
        <w:t>any and all</w:t>
      </w:r>
      <w:proofErr w:type="gramEnd"/>
      <w:r w:rsidRPr="006C496E">
        <w:t xml:space="preserve"> risks associated with the research procedures indicating, where possible, severity and frequency thereof,</w:t>
      </w:r>
      <w:r w:rsidR="007351AD" w:rsidRPr="006C496E">
        <w:rPr>
          <w:rStyle w:val="Appelnotedebasdep"/>
        </w:rPr>
        <w:footnoteReference w:id="20"/>
      </w:r>
    </w:p>
    <w:p w14:paraId="42DB92FB" w14:textId="77777777" w:rsidR="00665846" w:rsidRPr="006C496E" w:rsidRDefault="00665846">
      <w:pPr>
        <w:pStyle w:val="SOPBulletC"/>
        <w:keepNext/>
        <w:numPr>
          <w:ilvl w:val="0"/>
          <w:numId w:val="14"/>
        </w:numPr>
        <w:ind w:left="709" w:hanging="562"/>
      </w:pPr>
      <w:r w:rsidRPr="006C496E">
        <w:t>An assurance that prospective participants:</w:t>
      </w:r>
    </w:p>
    <w:p w14:paraId="7CA2715C" w14:textId="77777777" w:rsidR="00665846" w:rsidRPr="006C496E" w:rsidRDefault="00665846" w:rsidP="00602F3C">
      <w:pPr>
        <w:pStyle w:val="SOPBulletD"/>
        <w:ind w:left="1134" w:hanging="284"/>
      </w:pPr>
      <w:r w:rsidRPr="006C496E">
        <w:t>are under no obligation to participate,</w:t>
      </w:r>
      <w:r w:rsidRPr="006C496E">
        <w:rPr>
          <w:vertAlign w:val="superscript"/>
        </w:rPr>
        <w:footnoteReference w:id="21"/>
      </w:r>
      <w:r w:rsidRPr="006C496E">
        <w:t xml:space="preserve"> </w:t>
      </w:r>
    </w:p>
    <w:p w14:paraId="7EE3CFE1" w14:textId="77777777" w:rsidR="00665846" w:rsidRPr="006C496E" w:rsidRDefault="00665846" w:rsidP="00602F3C">
      <w:pPr>
        <w:pStyle w:val="SOPBulletD"/>
        <w:ind w:left="1134" w:hanging="284"/>
      </w:pPr>
      <w:r w:rsidRPr="006C496E">
        <w:t>are free to withdraw, or to verbally withdraw their consent at any time, without prejudice to the care to which they are entitled or to their relationship with the medical team,</w:t>
      </w:r>
      <w:r w:rsidRPr="006C496E">
        <w:rPr>
          <w:vertAlign w:val="superscript"/>
        </w:rPr>
        <w:footnoteReference w:id="22"/>
      </w:r>
    </w:p>
    <w:p w14:paraId="04AAD584" w14:textId="77777777" w:rsidR="00665846" w:rsidRPr="006C496E" w:rsidRDefault="00665846" w:rsidP="00602F3C">
      <w:pPr>
        <w:pStyle w:val="SOPBulletD"/>
        <w:ind w:left="1134" w:hanging="284"/>
      </w:pPr>
      <w:r w:rsidRPr="006C496E">
        <w:lastRenderedPageBreak/>
        <w:t>will be given, in a timely manner throughout the course of the research project, information relevant to their decision to continue or withdraw from participation,</w:t>
      </w:r>
      <w:r w:rsidRPr="006C496E">
        <w:rPr>
          <w:vertAlign w:val="superscript"/>
        </w:rPr>
        <w:footnoteReference w:id="23"/>
      </w:r>
    </w:p>
    <w:p w14:paraId="28CDD649" w14:textId="77777777" w:rsidR="00665846" w:rsidRPr="006C496E" w:rsidRDefault="00665846" w:rsidP="00602F3C">
      <w:pPr>
        <w:pStyle w:val="SOPBulletD"/>
        <w:ind w:left="1134" w:hanging="284"/>
      </w:pPr>
      <w:r w:rsidRPr="006C496E">
        <w:t>will be given information on their right to request the withdrawal of data or human biological materials, including any limitations on the feasibility of that withdrawal</w:t>
      </w:r>
      <w:r w:rsidRPr="006C496E">
        <w:rPr>
          <w:vertAlign w:val="superscript"/>
        </w:rPr>
        <w:footnoteReference w:id="24"/>
      </w:r>
      <w:r w:rsidRPr="006C496E">
        <w:t>;</w:t>
      </w:r>
    </w:p>
    <w:p w14:paraId="7BA2843C" w14:textId="77777777" w:rsidR="00665846" w:rsidRPr="006C496E" w:rsidRDefault="00665846">
      <w:pPr>
        <w:pStyle w:val="SOPBulletC"/>
        <w:numPr>
          <w:ilvl w:val="0"/>
          <w:numId w:val="14"/>
        </w:numPr>
        <w:ind w:left="709" w:hanging="567"/>
      </w:pPr>
      <w:r w:rsidRPr="006C496E">
        <w:t>Circumstances not permitting withdrawal of data or human biological materials already collected,</w:t>
      </w:r>
    </w:p>
    <w:p w14:paraId="24B7EA35" w14:textId="77777777" w:rsidR="00665846" w:rsidRPr="006C496E" w:rsidRDefault="00665846">
      <w:pPr>
        <w:pStyle w:val="SOPBulletC"/>
        <w:numPr>
          <w:ilvl w:val="0"/>
          <w:numId w:val="14"/>
        </w:numPr>
        <w:ind w:left="709" w:hanging="567"/>
      </w:pPr>
      <w:r w:rsidRPr="006C496E">
        <w:t xml:space="preserve">The </w:t>
      </w:r>
      <w:proofErr w:type="gramStart"/>
      <w:r w:rsidRPr="006C496E">
        <w:t>manner in which</w:t>
      </w:r>
      <w:proofErr w:type="gramEnd"/>
      <w:r w:rsidRPr="006C496E">
        <w:t xml:space="preserve"> the researcher informs the participant's primary physician of participation in the research, if applicable, and the manner in which the participant consents to have his/her primary physician informed,</w:t>
      </w:r>
    </w:p>
    <w:p w14:paraId="3EA0C932" w14:textId="77777777" w:rsidR="00665846" w:rsidRPr="006C496E" w:rsidRDefault="00665846">
      <w:pPr>
        <w:pStyle w:val="SOPBulletC"/>
        <w:numPr>
          <w:ilvl w:val="0"/>
          <w:numId w:val="14"/>
        </w:numPr>
        <w:ind w:left="709" w:hanging="567"/>
      </w:pPr>
      <w:r w:rsidRPr="006C496E">
        <w:t>Information concerning the possibility of commercialization of research findings,</w:t>
      </w:r>
      <w:r w:rsidRPr="00224415">
        <w:footnoteReference w:id="25"/>
      </w:r>
    </w:p>
    <w:p w14:paraId="39536A1E" w14:textId="0266B945" w:rsidR="00665846" w:rsidRPr="006C496E" w:rsidRDefault="00665846">
      <w:pPr>
        <w:pStyle w:val="SOPBulletC"/>
        <w:numPr>
          <w:ilvl w:val="0"/>
          <w:numId w:val="14"/>
        </w:numPr>
        <w:ind w:left="709" w:hanging="567"/>
      </w:pPr>
      <w:r w:rsidRPr="006C496E">
        <w:t>Real, potential</w:t>
      </w:r>
      <w:r w:rsidR="006C496E">
        <w:t>,</w:t>
      </w:r>
      <w:r w:rsidRPr="006C496E">
        <w:t xml:space="preserve"> or perceived conflicts of interest on the part of the researchers or any other relevant party, as reported to the REB, that the REB finds relevant to disclose to participants,</w:t>
      </w:r>
      <w:r w:rsidRPr="00224415">
        <w:footnoteReference w:id="26"/>
      </w:r>
    </w:p>
    <w:p w14:paraId="501ACA67" w14:textId="77777777" w:rsidR="00665846" w:rsidRPr="006C496E" w:rsidRDefault="00665846">
      <w:pPr>
        <w:pStyle w:val="SOPBulletC"/>
        <w:numPr>
          <w:ilvl w:val="0"/>
          <w:numId w:val="14"/>
        </w:numPr>
        <w:ind w:left="709" w:hanging="567"/>
      </w:pPr>
      <w:r w:rsidRPr="006C496E">
        <w:t>The methods used for dissemination of research results, including the safeguards for protecting participant privacy,</w:t>
      </w:r>
      <w:r w:rsidRPr="00224415">
        <w:footnoteReference w:id="27"/>
      </w:r>
    </w:p>
    <w:p w14:paraId="2ED3B287" w14:textId="77777777" w:rsidR="00665846" w:rsidRPr="006C496E" w:rsidRDefault="00665846">
      <w:pPr>
        <w:pStyle w:val="SOPBulletC"/>
        <w:numPr>
          <w:ilvl w:val="0"/>
          <w:numId w:val="14"/>
        </w:numPr>
        <w:ind w:left="709" w:hanging="567"/>
      </w:pPr>
      <w:r w:rsidRPr="006C496E">
        <w:t>The identity and contact information of a designated representative who can explain the research to participants,</w:t>
      </w:r>
      <w:r w:rsidRPr="00224415">
        <w:footnoteReference w:id="28"/>
      </w:r>
    </w:p>
    <w:p w14:paraId="0A74A81B" w14:textId="39DE3B46" w:rsidR="00665846" w:rsidRPr="006C496E" w:rsidRDefault="00665846">
      <w:pPr>
        <w:pStyle w:val="SOPBulletC"/>
        <w:numPr>
          <w:ilvl w:val="0"/>
          <w:numId w:val="14"/>
        </w:numPr>
        <w:ind w:left="709" w:hanging="567"/>
      </w:pPr>
      <w:r w:rsidRPr="006C496E">
        <w:t>The identity and contact information of individuals outside the research team whom participants may contact regarding possible research-related issues,</w:t>
      </w:r>
      <w:r w:rsidRPr="00224415">
        <w:footnoteReference w:id="29"/>
      </w:r>
    </w:p>
    <w:p w14:paraId="3861DD17" w14:textId="77777777" w:rsidR="00665846" w:rsidRPr="006C496E" w:rsidRDefault="00665846">
      <w:pPr>
        <w:pStyle w:val="SOPBulletC"/>
        <w:numPr>
          <w:ilvl w:val="0"/>
          <w:numId w:val="14"/>
        </w:numPr>
        <w:ind w:left="709" w:hanging="567"/>
      </w:pPr>
      <w:r w:rsidRPr="006C496E">
        <w:t>Personal information collected about participants and for what purpose,</w:t>
      </w:r>
      <w:r w:rsidRPr="00224415">
        <w:footnoteReference w:id="30"/>
      </w:r>
    </w:p>
    <w:p w14:paraId="413C4860" w14:textId="77777777" w:rsidR="00665846" w:rsidRPr="006C496E" w:rsidRDefault="00665846">
      <w:pPr>
        <w:pStyle w:val="SOPBulletC"/>
        <w:numPr>
          <w:ilvl w:val="0"/>
          <w:numId w:val="14"/>
        </w:numPr>
        <w:ind w:left="709" w:hanging="567"/>
      </w:pPr>
      <w:r w:rsidRPr="006C496E">
        <w:t>A description of how confidentiality will be protected, as adapted for each research project from the confidentiality clause of the institution’s template,</w:t>
      </w:r>
      <w:r w:rsidRPr="00224415">
        <w:footnoteReference w:id="31"/>
      </w:r>
    </w:p>
    <w:p w14:paraId="40B15308" w14:textId="77777777" w:rsidR="00665846" w:rsidRPr="006C496E" w:rsidRDefault="00665846">
      <w:pPr>
        <w:pStyle w:val="SOPBulletC"/>
        <w:numPr>
          <w:ilvl w:val="0"/>
          <w:numId w:val="14"/>
        </w:numPr>
        <w:ind w:left="709" w:hanging="567"/>
      </w:pPr>
      <w:r w:rsidRPr="006C496E">
        <w:t xml:space="preserve">Planned or anticipated secondary uses of the data and samples obtained </w:t>
      </w:r>
      <w:proofErr w:type="gramStart"/>
      <w:r w:rsidRPr="006C496E">
        <w:t>in the course of</w:t>
      </w:r>
      <w:proofErr w:type="gramEnd"/>
      <w:r w:rsidRPr="006C496E">
        <w:t xml:space="preserve"> the primary research project,</w:t>
      </w:r>
    </w:p>
    <w:p w14:paraId="6DCB30AC" w14:textId="1121160A" w:rsidR="00665846" w:rsidRPr="006C496E" w:rsidRDefault="00665846">
      <w:pPr>
        <w:pStyle w:val="SOPBulletC"/>
        <w:numPr>
          <w:ilvl w:val="0"/>
          <w:numId w:val="14"/>
        </w:numPr>
        <w:ind w:left="709" w:hanging="567"/>
      </w:pPr>
      <w:r w:rsidRPr="006C496E">
        <w:t>Financial compensation and reimbursement for participation-related expenses,</w:t>
      </w:r>
      <w:r w:rsidR="00EE6C21" w:rsidRPr="00224415">
        <w:footnoteReference w:id="32"/>
      </w:r>
      <w:r w:rsidRPr="006C496E">
        <w:t xml:space="preserve"> </w:t>
      </w:r>
    </w:p>
    <w:p w14:paraId="27171D5D" w14:textId="77777777" w:rsidR="00665846" w:rsidRPr="006C496E" w:rsidRDefault="00665846">
      <w:pPr>
        <w:pStyle w:val="SOPBulletC"/>
        <w:numPr>
          <w:ilvl w:val="0"/>
          <w:numId w:val="14"/>
        </w:numPr>
        <w:ind w:left="709" w:hanging="567"/>
      </w:pPr>
      <w:r w:rsidRPr="006C496E">
        <w:t>Compensation for injury,</w:t>
      </w:r>
      <w:r w:rsidRPr="00224415">
        <w:footnoteReference w:id="33"/>
      </w:r>
      <w:r w:rsidRPr="006C496E">
        <w:t xml:space="preserve"> </w:t>
      </w:r>
    </w:p>
    <w:p w14:paraId="3CCE3B66" w14:textId="77777777" w:rsidR="00665846" w:rsidRPr="006C496E" w:rsidRDefault="00665846">
      <w:pPr>
        <w:pStyle w:val="SOPBulletC"/>
        <w:numPr>
          <w:ilvl w:val="0"/>
          <w:numId w:val="14"/>
        </w:numPr>
        <w:ind w:left="709" w:hanging="567"/>
      </w:pPr>
      <w:r w:rsidRPr="006C496E">
        <w:t>Information on stopping rules and situations where researchers might remove participants</w:t>
      </w:r>
      <w:r w:rsidRPr="00602F3C">
        <w:footnoteReference w:id="34"/>
      </w:r>
      <w:r w:rsidRPr="006C496E">
        <w:t>;</w:t>
      </w:r>
    </w:p>
    <w:p w14:paraId="22EF5265" w14:textId="3D5E5926" w:rsidR="00665846" w:rsidRPr="006C496E" w:rsidRDefault="00665846" w:rsidP="002C1840">
      <w:pPr>
        <w:pStyle w:val="Titre3"/>
        <w:widowControl/>
      </w:pPr>
      <w:r w:rsidRPr="006C496E">
        <w:lastRenderedPageBreak/>
        <w:t>The REB may require a separate consent form for optional procedures or sub- studies (</w:t>
      </w:r>
      <w:r w:rsidR="00224415" w:rsidRPr="006C496E">
        <w:t>e.g.,</w:t>
      </w:r>
      <w:r w:rsidRPr="006C496E">
        <w:t xml:space="preserve"> tissue, blood, genetic testing</w:t>
      </w:r>
      <w:r w:rsidR="00224415">
        <w:t>,</w:t>
      </w:r>
      <w:r w:rsidRPr="006C496E">
        <w:t xml:space="preserve"> or specimen banking).</w:t>
      </w:r>
    </w:p>
    <w:p w14:paraId="653F56EF" w14:textId="77777777" w:rsidR="00665846" w:rsidRPr="006C496E" w:rsidRDefault="00665846" w:rsidP="002C1840">
      <w:pPr>
        <w:pStyle w:val="Titre2"/>
        <w:widowControl/>
      </w:pPr>
      <w:bookmarkStart w:id="9" w:name="_Toc151529010"/>
      <w:r w:rsidRPr="006C496E">
        <w:t>Language Requirements for Informed Consent</w:t>
      </w:r>
      <w:bookmarkEnd w:id="9"/>
      <w:r w:rsidRPr="006C496E">
        <w:t xml:space="preserve"> </w:t>
      </w:r>
    </w:p>
    <w:p w14:paraId="211A69FE" w14:textId="77777777" w:rsidR="00665846" w:rsidRPr="006C496E" w:rsidRDefault="00665846" w:rsidP="002C1840">
      <w:pPr>
        <w:pStyle w:val="Titre3"/>
        <w:widowControl/>
      </w:pPr>
      <w:r w:rsidRPr="006C496E">
        <w:t xml:space="preserve">Except when justified as deemed appropriate by the REB, informed consent forms should be available in both French and English. </w:t>
      </w:r>
    </w:p>
    <w:p w14:paraId="5AA575B9" w14:textId="77777777" w:rsidR="00665846" w:rsidRPr="006C496E" w:rsidRDefault="00665846" w:rsidP="002C1840">
      <w:pPr>
        <w:pStyle w:val="Titre3"/>
        <w:widowControl/>
      </w:pPr>
      <w:r w:rsidRPr="006C496E">
        <w:t xml:space="preserve">If applicable/acceptable, a qualified interpreter – fluent in French or English as well as in the research participant’s native language – orally interprets the REB-approved consent form to the research participant. The interpreter should be an impartial person. When the person obtaining consent is assisted by an interpreter, the interpreter must sign and date the consent </w:t>
      </w:r>
      <w:proofErr w:type="gramStart"/>
      <w:r w:rsidRPr="006C496E">
        <w:t>form;</w:t>
      </w:r>
      <w:proofErr w:type="gramEnd"/>
    </w:p>
    <w:p w14:paraId="1C83468F" w14:textId="77777777" w:rsidR="00665846" w:rsidRPr="006C496E" w:rsidRDefault="00665846" w:rsidP="002C1840">
      <w:pPr>
        <w:pStyle w:val="Titre3"/>
        <w:widowControl/>
      </w:pPr>
      <w:r w:rsidRPr="006C496E">
        <w:t xml:space="preserve">The REB requires that the research team attests to the accuracy of translated informed consent forms or requires an attestation from the translator certifying that the translated informed consent accurately reflects the contents of the REB-approved informed consent </w:t>
      </w:r>
      <w:proofErr w:type="gramStart"/>
      <w:r w:rsidRPr="006C496E">
        <w:t>form;</w:t>
      </w:r>
      <w:proofErr w:type="gramEnd"/>
      <w:r w:rsidRPr="006C496E">
        <w:t xml:space="preserve"> </w:t>
      </w:r>
    </w:p>
    <w:p w14:paraId="137608BE" w14:textId="5E69B345" w:rsidR="00665846" w:rsidRPr="006C496E" w:rsidRDefault="00665846" w:rsidP="002C1840">
      <w:pPr>
        <w:pStyle w:val="Titre3"/>
        <w:widowControl/>
      </w:pPr>
      <w:r w:rsidRPr="006C496E">
        <w:t>If a research participant asks that the informed consent form be read to him/her, an impartial witness must be present during the reading and the entire informed consent discussion. Consent is documented, and the impartial witness attests that the information was accurately explained to the research participant and that consent was given by the research participant;</w:t>
      </w:r>
      <w:r w:rsidR="00EC50E6" w:rsidRPr="006C496E">
        <w:rPr>
          <w:rStyle w:val="Appelnotedebasdep"/>
        </w:rPr>
        <w:footnoteReference w:id="35"/>
      </w:r>
    </w:p>
    <w:p w14:paraId="78510E42" w14:textId="77777777" w:rsidR="00665846" w:rsidRPr="006C496E" w:rsidRDefault="00665846" w:rsidP="002C1840">
      <w:pPr>
        <w:pStyle w:val="Titre3"/>
        <w:widowControl/>
      </w:pPr>
      <w:r w:rsidRPr="006C496E">
        <w:t>Where a participant cannot express consent by signing, consent may be given verbally or with a written mark, provided that a witness is present and attests to it in writing.</w:t>
      </w:r>
    </w:p>
    <w:p w14:paraId="1593325D" w14:textId="77777777" w:rsidR="00665846" w:rsidRPr="006C496E" w:rsidRDefault="00665846" w:rsidP="0015459F">
      <w:pPr>
        <w:pStyle w:val="Titre2"/>
        <w:keepNext/>
        <w:keepLines/>
        <w:widowControl/>
        <w:ind w:left="1138"/>
      </w:pPr>
      <w:bookmarkStart w:id="10" w:name="_Toc151529011"/>
      <w:r w:rsidRPr="006C496E">
        <w:t>Changes to Information Relevant to Consent for Ongoing and Completed Research Participants</w:t>
      </w:r>
      <w:bookmarkEnd w:id="10"/>
    </w:p>
    <w:p w14:paraId="524CF6B1" w14:textId="77777777" w:rsidR="00665846" w:rsidRPr="006C496E" w:rsidRDefault="00665846" w:rsidP="00224415">
      <w:pPr>
        <w:pStyle w:val="Titre3"/>
        <w:keepNext/>
        <w:keepLines/>
        <w:widowControl/>
        <w:numPr>
          <w:ilvl w:val="0"/>
          <w:numId w:val="0"/>
        </w:numPr>
        <w:ind w:left="4"/>
      </w:pPr>
      <w:r w:rsidRPr="006C496E">
        <w:t>The REB will review and approve: any new information to be provided to participants of ongoing research, the disclosure of potential long-term health effects during or after participation in a research project, as well as any changes to the consent form related to the transmission of new information to participants</w:t>
      </w:r>
      <w:r w:rsidRPr="006C496E">
        <w:rPr>
          <w:vertAlign w:val="superscript"/>
        </w:rPr>
        <w:footnoteReference w:id="36"/>
      </w:r>
      <w:r w:rsidRPr="006C496E">
        <w:t>;</w:t>
      </w:r>
    </w:p>
    <w:p w14:paraId="4CE18346" w14:textId="028FD26B" w:rsidR="00665846" w:rsidRPr="006C496E" w:rsidRDefault="00665846" w:rsidP="002C1840">
      <w:pPr>
        <w:pStyle w:val="Titre3"/>
        <w:widowControl/>
      </w:pPr>
      <w:r w:rsidRPr="006C496E">
        <w:t>The Researcher must inform research participants of any new information that might affect their willingness to continue participating in the research or that may affect their long-term health, even if they have completed their participation in the research (</w:t>
      </w:r>
      <w:r w:rsidR="00224415" w:rsidRPr="006C496E">
        <w:t>e.g.,</w:t>
      </w:r>
      <w:r w:rsidRPr="006C496E">
        <w:t> significant changes to the research or potential risks thereof)</w:t>
      </w:r>
      <w:r w:rsidRPr="006C496E">
        <w:rPr>
          <w:vertAlign w:val="superscript"/>
        </w:rPr>
        <w:footnoteReference w:id="37"/>
      </w:r>
      <w:r w:rsidRPr="006C496E">
        <w:t>;</w:t>
      </w:r>
    </w:p>
    <w:p w14:paraId="0045AA20" w14:textId="77777777" w:rsidR="00665846" w:rsidRPr="006C496E" w:rsidRDefault="00665846" w:rsidP="00BA31E3">
      <w:pPr>
        <w:pStyle w:val="Titre3"/>
        <w:widowControl/>
        <w:numPr>
          <w:ilvl w:val="0"/>
          <w:numId w:val="0"/>
        </w:numPr>
      </w:pPr>
      <w:r w:rsidRPr="006C496E">
        <w:t xml:space="preserve">The REB will determine: </w:t>
      </w:r>
    </w:p>
    <w:p w14:paraId="0B9C2BAD" w14:textId="6BA3DEEF" w:rsidR="00665846" w:rsidRPr="006C496E" w:rsidRDefault="00665846" w:rsidP="0092174E">
      <w:pPr>
        <w:pStyle w:val="SOPBulletA"/>
        <w:ind w:left="567" w:hanging="567"/>
      </w:pPr>
      <w:r w:rsidRPr="006C496E">
        <w:t>The nature of the new information to be given to ongoing participants and the required documentation,</w:t>
      </w:r>
    </w:p>
    <w:p w14:paraId="0144501B" w14:textId="568276C8" w:rsidR="00665846" w:rsidRPr="006C496E" w:rsidRDefault="00665846" w:rsidP="0092174E">
      <w:pPr>
        <w:pStyle w:val="SOPBulletA"/>
        <w:ind w:left="567" w:hanging="567"/>
      </w:pPr>
      <w:r w:rsidRPr="006C496E">
        <w:t>Whether a modified consent form is required for incorporating the updated information,</w:t>
      </w:r>
    </w:p>
    <w:p w14:paraId="34C1D13E" w14:textId="77777777" w:rsidR="00665846" w:rsidRPr="006C496E" w:rsidRDefault="00665846" w:rsidP="0092174E">
      <w:pPr>
        <w:pStyle w:val="SOPBulletA"/>
        <w:ind w:left="567" w:hanging="567"/>
      </w:pPr>
      <w:r w:rsidRPr="006C496E">
        <w:lastRenderedPageBreak/>
        <w:t xml:space="preserve">The process by which to allow participants to reconsider </w:t>
      </w:r>
      <w:proofErr w:type="gramStart"/>
      <w:r w:rsidRPr="006C496E">
        <w:t>whether or not</w:t>
      </w:r>
      <w:proofErr w:type="gramEnd"/>
      <w:r w:rsidRPr="006C496E">
        <w:t xml:space="preserve"> to continue participating in the research</w:t>
      </w:r>
      <w:r w:rsidRPr="006C496E">
        <w:rPr>
          <w:vertAlign w:val="superscript"/>
        </w:rPr>
        <w:footnoteReference w:id="38"/>
      </w:r>
      <w:r w:rsidRPr="006C496E">
        <w:t>;</w:t>
      </w:r>
    </w:p>
    <w:p w14:paraId="2D6FCC14" w14:textId="77777777" w:rsidR="00665846" w:rsidRPr="006C496E" w:rsidRDefault="00665846" w:rsidP="002C1840">
      <w:pPr>
        <w:pStyle w:val="Titre3"/>
        <w:widowControl/>
      </w:pPr>
      <w:r w:rsidRPr="006C496E">
        <w:t>If applicable, ongoing consent may be obtained orally by contacting the research participant by phone, providing the updated information, and documenting their agreement to continue</w:t>
      </w:r>
      <w:r w:rsidRPr="006C496E">
        <w:rPr>
          <w:vertAlign w:val="superscript"/>
        </w:rPr>
        <w:footnoteReference w:id="39"/>
      </w:r>
      <w:r w:rsidRPr="006C496E">
        <w:t>;</w:t>
      </w:r>
    </w:p>
    <w:p w14:paraId="312E93CB" w14:textId="77777777" w:rsidR="00665846" w:rsidRPr="006C496E" w:rsidRDefault="00665846" w:rsidP="002C1840">
      <w:pPr>
        <w:pStyle w:val="Titre3"/>
        <w:widowControl/>
      </w:pPr>
      <w:r w:rsidRPr="006C496E">
        <w:t>The Researcher must inform former research participants of any new information that may be relevant to their long-term health by contacting them via phone or mail or in person, as applicable.</w:t>
      </w:r>
    </w:p>
    <w:p w14:paraId="1033BAA2" w14:textId="77777777" w:rsidR="00665846" w:rsidRPr="006C496E" w:rsidRDefault="00665846" w:rsidP="002C1840">
      <w:pPr>
        <w:pStyle w:val="Titre2"/>
        <w:widowControl/>
      </w:pPr>
      <w:bookmarkStart w:id="11" w:name="_Toc151529012"/>
      <w:r w:rsidRPr="006C496E">
        <w:t>Waiver or Alteration of Informed Consent</w:t>
      </w:r>
      <w:bookmarkEnd w:id="11"/>
    </w:p>
    <w:p w14:paraId="243CDC8F" w14:textId="77777777" w:rsidR="00665846" w:rsidRPr="006C496E" w:rsidRDefault="00665846" w:rsidP="002C1840">
      <w:pPr>
        <w:pStyle w:val="Titre3"/>
        <w:widowControl/>
      </w:pPr>
      <w:r w:rsidRPr="006C496E">
        <w:t xml:space="preserve">The REB may approve a consent procedure that does not include, or which alters, some or </w:t>
      </w:r>
      <w:proofErr w:type="gramStart"/>
      <w:r w:rsidRPr="006C496E">
        <w:t>all of</w:t>
      </w:r>
      <w:proofErr w:type="gramEnd"/>
      <w:r w:rsidRPr="006C496E">
        <w:t xml:space="preserve"> the elements of informed consent, provided that the Researcher submits satisfactory justification thereof and that the REB finds and documents the following:</w:t>
      </w:r>
    </w:p>
    <w:p w14:paraId="115B1535" w14:textId="77777777" w:rsidR="00665846" w:rsidRPr="006C496E" w:rsidRDefault="00665846" w:rsidP="0092174E">
      <w:pPr>
        <w:pStyle w:val="SOPBulletC"/>
        <w:ind w:left="1560"/>
      </w:pPr>
      <w:r w:rsidRPr="006C496E">
        <w:t xml:space="preserve">The regulatory guidance framework for research and all previously expressed wishes </w:t>
      </w:r>
      <w:proofErr w:type="gramStart"/>
      <w:r w:rsidRPr="006C496E">
        <w:t>support</w:t>
      </w:r>
      <w:proofErr w:type="gramEnd"/>
      <w:r w:rsidRPr="006C496E">
        <w:t xml:space="preserve"> the waiver,</w:t>
      </w:r>
    </w:p>
    <w:p w14:paraId="6E494E0B" w14:textId="77777777" w:rsidR="00665846" w:rsidRPr="006C496E" w:rsidRDefault="00665846" w:rsidP="0092174E">
      <w:pPr>
        <w:pStyle w:val="SOPBulletC"/>
        <w:ind w:left="1560"/>
      </w:pPr>
      <w:r w:rsidRPr="006C496E">
        <w:t>The research involves no more than minimal risk to the participants,</w:t>
      </w:r>
      <w:r w:rsidRPr="006C496E">
        <w:rPr>
          <w:vertAlign w:val="superscript"/>
        </w:rPr>
        <w:footnoteReference w:id="40"/>
      </w:r>
    </w:p>
    <w:p w14:paraId="0D43FA41" w14:textId="77777777" w:rsidR="00665846" w:rsidRPr="006C496E" w:rsidRDefault="00665846" w:rsidP="0092174E">
      <w:pPr>
        <w:pStyle w:val="SOPBulletC"/>
        <w:ind w:left="1560"/>
      </w:pPr>
      <w:r w:rsidRPr="006C496E">
        <w:t xml:space="preserve">It is impossible, practically impossible, or inopportune to seek consent or to obtain fully informed consent, </w:t>
      </w:r>
    </w:p>
    <w:p w14:paraId="03E445A4" w14:textId="77777777" w:rsidR="00665846" w:rsidRPr="006C496E" w:rsidRDefault="00665846" w:rsidP="0092174E">
      <w:pPr>
        <w:pStyle w:val="SOPBulletC"/>
        <w:ind w:left="1560"/>
      </w:pPr>
      <w:r w:rsidRPr="006C496E">
        <w:t>The waiver or alteration is unlikely to adversely affect the well-being of the participants or their relations,</w:t>
      </w:r>
      <w:r w:rsidRPr="006C496E">
        <w:rPr>
          <w:vertAlign w:val="superscript"/>
        </w:rPr>
        <w:footnoteReference w:id="41"/>
      </w:r>
    </w:p>
    <w:p w14:paraId="675056A1" w14:textId="77777777" w:rsidR="00665846" w:rsidRPr="006C496E" w:rsidRDefault="00665846" w:rsidP="0092174E">
      <w:pPr>
        <w:pStyle w:val="SOPBulletC"/>
        <w:ind w:left="1560"/>
      </w:pPr>
      <w:r w:rsidRPr="006C496E">
        <w:t>The research could not practicably be carried out without the waiver or alteration,</w:t>
      </w:r>
      <w:r w:rsidRPr="006C496E">
        <w:rPr>
          <w:vertAlign w:val="superscript"/>
        </w:rPr>
        <w:footnoteReference w:id="42"/>
      </w:r>
    </w:p>
    <w:p w14:paraId="10184538" w14:textId="77777777" w:rsidR="00665846" w:rsidRPr="006C496E" w:rsidRDefault="00665846" w:rsidP="0092174E">
      <w:pPr>
        <w:pStyle w:val="SOPBulletC"/>
        <w:ind w:left="1560"/>
      </w:pPr>
      <w:r w:rsidRPr="006C496E">
        <w:t>The information is used in a manner that will ensure its confidentiality,</w:t>
      </w:r>
      <w:r w:rsidRPr="006C496E">
        <w:rPr>
          <w:vertAlign w:val="superscript"/>
        </w:rPr>
        <w:footnoteReference w:id="43"/>
      </w:r>
    </w:p>
    <w:p w14:paraId="0E2429F2" w14:textId="53FC61B4" w:rsidR="00665846" w:rsidRPr="006C496E" w:rsidRDefault="00665846" w:rsidP="0092174E">
      <w:pPr>
        <w:pStyle w:val="SOPBulletC"/>
        <w:ind w:left="1560"/>
      </w:pPr>
      <w:r w:rsidRPr="006C496E">
        <w:t>Whenever appropriate, participants will be provided with additional pertinent information after participation;</w:t>
      </w:r>
      <w:r w:rsidR="00EC50E6" w:rsidRPr="006C496E">
        <w:rPr>
          <w:rStyle w:val="Appelnotedebasdep"/>
        </w:rPr>
        <w:footnoteReference w:id="44"/>
      </w:r>
    </w:p>
    <w:p w14:paraId="2729D81E" w14:textId="7A7CFDEC" w:rsidR="00665846" w:rsidRPr="006C496E" w:rsidRDefault="00665846" w:rsidP="002C1840">
      <w:pPr>
        <w:pStyle w:val="Titre3"/>
        <w:widowControl/>
      </w:pPr>
      <w:r w:rsidRPr="006C496E">
        <w:t>The REB may allow research in health emergencies, by obtaining deferred informed consent of the participant or of his/her authorized third party, provided that the Researcher submits satisfactory justification thereof and that the REB finds and documents the following:</w:t>
      </w:r>
    </w:p>
    <w:p w14:paraId="4EF2BEAD" w14:textId="77777777" w:rsidR="00665846" w:rsidRPr="006C496E" w:rsidRDefault="00665846" w:rsidP="0092174E">
      <w:pPr>
        <w:pStyle w:val="SOPBulletC"/>
        <w:ind w:left="1560"/>
      </w:pPr>
      <w:r w:rsidRPr="006C496E">
        <w:t>The regulatory guidance framework for research supports the waiver,</w:t>
      </w:r>
    </w:p>
    <w:p w14:paraId="5189E304" w14:textId="77777777" w:rsidR="00665846" w:rsidRPr="006C496E" w:rsidRDefault="00665846" w:rsidP="0092174E">
      <w:pPr>
        <w:pStyle w:val="SOPBulletC"/>
        <w:ind w:left="1560"/>
      </w:pPr>
      <w:r w:rsidRPr="006C496E">
        <w:lastRenderedPageBreak/>
        <w:t>A serious threat to the prospective participant requires immediate intervention,</w:t>
      </w:r>
    </w:p>
    <w:p w14:paraId="31D6E712" w14:textId="77777777" w:rsidR="00665846" w:rsidRPr="006C496E" w:rsidRDefault="00665846" w:rsidP="0092174E">
      <w:pPr>
        <w:pStyle w:val="SOPBulletC"/>
        <w:ind w:left="1560"/>
      </w:pPr>
      <w:r w:rsidRPr="006C496E">
        <w:t>Either no standard efficacious care exists, or the research offers a real possibility of direct benefit to the participant in comparison with standard care,</w:t>
      </w:r>
    </w:p>
    <w:p w14:paraId="1C6B767B" w14:textId="77777777" w:rsidR="00665846" w:rsidRPr="006C496E" w:rsidRDefault="00665846" w:rsidP="0092174E">
      <w:pPr>
        <w:pStyle w:val="SOPBulletC"/>
        <w:ind w:left="1560"/>
      </w:pPr>
      <w:r w:rsidRPr="006C496E">
        <w:t>Either the risk of harm is not greater than that involved in standard therapeutic care, or it is clearly justified by the potential for direct benefit to the participant,</w:t>
      </w:r>
    </w:p>
    <w:p w14:paraId="61AD1776" w14:textId="77777777" w:rsidR="00665846" w:rsidRPr="006C496E" w:rsidRDefault="00665846" w:rsidP="0092174E">
      <w:pPr>
        <w:pStyle w:val="SOPBulletC"/>
        <w:ind w:left="1560"/>
      </w:pPr>
      <w:r w:rsidRPr="006C496E">
        <w:t xml:space="preserve">The prospective participant is unconscious or lacks the capacity to understand the risks, </w:t>
      </w:r>
      <w:proofErr w:type="gramStart"/>
      <w:r w:rsidRPr="006C496E">
        <w:t>methods</w:t>
      </w:r>
      <w:proofErr w:type="gramEnd"/>
      <w:r w:rsidRPr="006C496E">
        <w:t xml:space="preserve"> and purpose of the research project,</w:t>
      </w:r>
    </w:p>
    <w:p w14:paraId="4869EE59" w14:textId="77777777" w:rsidR="00665846" w:rsidRPr="006C496E" w:rsidRDefault="00665846" w:rsidP="0092174E">
      <w:pPr>
        <w:pStyle w:val="SOPBulletC"/>
        <w:ind w:left="1560"/>
      </w:pPr>
      <w:r w:rsidRPr="006C496E">
        <w:t>Third-party authorization cannot be secured in sufficient time, despite diligent and documented efforts to do so, and</w:t>
      </w:r>
    </w:p>
    <w:p w14:paraId="22E99610" w14:textId="77777777" w:rsidR="00665846" w:rsidRPr="006C496E" w:rsidRDefault="00665846" w:rsidP="0092174E">
      <w:pPr>
        <w:pStyle w:val="SOPBulletC"/>
        <w:ind w:left="1560"/>
      </w:pPr>
      <w:r w:rsidRPr="006C496E">
        <w:t xml:space="preserve">No relevant prior directive by the participant is known to </w:t>
      </w:r>
      <w:proofErr w:type="gramStart"/>
      <w:r w:rsidRPr="006C496E">
        <w:t>exist;</w:t>
      </w:r>
      <w:proofErr w:type="gramEnd"/>
    </w:p>
    <w:p w14:paraId="762EB375" w14:textId="77777777" w:rsidR="00665846" w:rsidRPr="006C496E" w:rsidRDefault="00665846" w:rsidP="0092174E">
      <w:pPr>
        <w:pStyle w:val="SOPBulletC"/>
        <w:ind w:left="1560"/>
      </w:pPr>
      <w:r w:rsidRPr="006C496E">
        <w:t>Informed consent will be sought in a timely fashion as soon as the participant regains decisional capacity or a legal representative is found, as a condition of continued participation.</w:t>
      </w:r>
    </w:p>
    <w:p w14:paraId="4FBC7F04" w14:textId="0024F9CE" w:rsidR="00665846" w:rsidRPr="006C496E" w:rsidRDefault="00665846" w:rsidP="002C1840">
      <w:pPr>
        <w:pStyle w:val="Titre2"/>
        <w:widowControl/>
      </w:pPr>
      <w:bookmarkStart w:id="12" w:name="_Toc151529013"/>
      <w:r w:rsidRPr="006C496E">
        <w:t xml:space="preserve">Consent for Research Involving Individuals </w:t>
      </w:r>
      <w:r w:rsidR="00853B7E" w:rsidRPr="006C496E">
        <w:t>Who</w:t>
      </w:r>
      <w:r w:rsidRPr="006C496E">
        <w:t xml:space="preserve"> Lack Capacity</w:t>
      </w:r>
      <w:bookmarkEnd w:id="12"/>
    </w:p>
    <w:p w14:paraId="72489E81" w14:textId="68853AFC" w:rsidR="00665846" w:rsidRPr="006C496E" w:rsidRDefault="00665846" w:rsidP="00BA31E3">
      <w:pPr>
        <w:pStyle w:val="Titre3"/>
        <w:widowControl/>
        <w:numPr>
          <w:ilvl w:val="0"/>
          <w:numId w:val="0"/>
        </w:numPr>
      </w:pPr>
      <w:r w:rsidRPr="006C496E">
        <w:t>For research involving individuals who lack the capacity, either permanently or temporarily, to decide for themselves whether to participate, the REB must ensure that at a minimum the following conditions are met:</w:t>
      </w:r>
    </w:p>
    <w:p w14:paraId="79C6278F" w14:textId="79BFD8EF" w:rsidR="00665846" w:rsidRPr="006C496E" w:rsidRDefault="00665846" w:rsidP="0092174E">
      <w:pPr>
        <w:pStyle w:val="SOPBulletA"/>
        <w:ind w:left="567" w:hanging="567"/>
      </w:pPr>
      <w:r w:rsidRPr="006C496E">
        <w:t>Insofar as possible, the Researcher will involve those participants who lack the capacity to consent on their own behalf in the decision-making process. Assent will be documented.</w:t>
      </w:r>
      <w:r w:rsidRPr="006C496E">
        <w:rPr>
          <w:vertAlign w:val="superscript"/>
        </w:rPr>
        <w:footnoteReference w:id="45"/>
      </w:r>
      <w:r w:rsidRPr="006C496E">
        <w:t xml:space="preserve"> Any participant who dissents while understanding the nature and consequences of the study may not participate in the research,</w:t>
      </w:r>
      <w:r w:rsidRPr="006C496E">
        <w:rPr>
          <w:vertAlign w:val="superscript"/>
        </w:rPr>
        <w:footnoteReference w:id="46"/>
      </w:r>
    </w:p>
    <w:p w14:paraId="15000B0E" w14:textId="73BCB237" w:rsidR="00665846" w:rsidRPr="006C496E" w:rsidRDefault="00665846">
      <w:pPr>
        <w:pStyle w:val="SOPBulletA"/>
        <w:ind w:left="567" w:hanging="567"/>
      </w:pPr>
      <w:r w:rsidRPr="006C496E">
        <w:t xml:space="preserve">The Researcher seeks consent from the prospective participant’s </w:t>
      </w:r>
      <w:r w:rsidR="00EC50E6" w:rsidRPr="006C496E">
        <w:rPr>
          <w:rStyle w:val="Appelnotedebasdep"/>
        </w:rPr>
        <w:footnoteReference w:id="47"/>
      </w:r>
      <w:r w:rsidRPr="006C496E">
        <w:t>legal representative. This legal representative cannot</w:t>
      </w:r>
      <w:r w:rsidR="00EC50E6" w:rsidRPr="006C496E">
        <w:rPr>
          <w:rStyle w:val="Appelnotedebasdep"/>
        </w:rPr>
        <w:footnoteReference w:id="48"/>
      </w:r>
      <w:r w:rsidRPr="006C496E">
        <w:t xml:space="preserve"> be the Researcher or any other member of the research team,</w:t>
      </w:r>
      <w:r w:rsidRPr="006C496E">
        <w:rPr>
          <w:vertAlign w:val="superscript"/>
        </w:rPr>
        <w:footnoteReference w:id="49"/>
      </w:r>
      <w:r w:rsidR="005329E9">
        <w:t xml:space="preserve"> </w:t>
      </w:r>
      <w:proofErr w:type="gramStart"/>
      <w:r w:rsidR="005329E9">
        <w:t>w</w:t>
      </w:r>
      <w:r w:rsidRPr="006C496E">
        <w:t>hether or not</w:t>
      </w:r>
      <w:proofErr w:type="gramEnd"/>
      <w:r w:rsidRPr="006C496E">
        <w:t xml:space="preserve"> the research affects the integrity of the prospective participant: </w:t>
      </w:r>
    </w:p>
    <w:p w14:paraId="3DB4E0C4" w14:textId="77777777" w:rsidR="00665846" w:rsidRPr="006C496E" w:rsidRDefault="00665846" w:rsidP="005329E9">
      <w:pPr>
        <w:pStyle w:val="SOPBulletA"/>
        <w:ind w:left="1134" w:hanging="567"/>
      </w:pPr>
      <w:r w:rsidRPr="006C496E">
        <w:t>The Researcher demonstrates that, if the research involves only one participant, it is being carried out for his/her health; if the research involves a group of participants, it is being carried out for the benefit of persons of the same age, disease, or disability characteristics as the participant group,</w:t>
      </w:r>
      <w:r w:rsidRPr="006C496E">
        <w:rPr>
          <w:vertAlign w:val="superscript"/>
        </w:rPr>
        <w:footnoteReference w:id="50"/>
      </w:r>
      <w:r w:rsidRPr="006C496E">
        <w:t xml:space="preserve"> </w:t>
      </w:r>
    </w:p>
    <w:p w14:paraId="5F1FA062" w14:textId="77777777" w:rsidR="00665846" w:rsidRPr="006C496E" w:rsidRDefault="00665846" w:rsidP="005329E9">
      <w:pPr>
        <w:pStyle w:val="SOPBulletA"/>
        <w:ind w:left="1134" w:hanging="567"/>
      </w:pPr>
      <w:r w:rsidRPr="006C496E">
        <w:t xml:space="preserve">The inherent risks of the research, considering the participant’s state of health and personal condition, shall not be out of proportion to the benefits one can reasonably </w:t>
      </w:r>
      <w:proofErr w:type="gramStart"/>
      <w:r w:rsidRPr="006C496E">
        <w:t>expect;</w:t>
      </w:r>
      <w:proofErr w:type="gramEnd"/>
      <w:r w:rsidRPr="006C496E">
        <w:rPr>
          <w:vertAlign w:val="superscript"/>
        </w:rPr>
        <w:footnoteReference w:id="51"/>
      </w:r>
    </w:p>
    <w:p w14:paraId="76CA5ECB" w14:textId="77777777" w:rsidR="00665846" w:rsidRPr="006C496E" w:rsidRDefault="00665846" w:rsidP="002C1840">
      <w:pPr>
        <w:pStyle w:val="Titre3"/>
        <w:widowControl/>
      </w:pPr>
      <w:r w:rsidRPr="006C496E">
        <w:lastRenderedPageBreak/>
        <w:t>When authorization for participation was granted by an authorized third party, and the participant acquires or regains capacity during the research, the Researcher will seek the participant’s consent, insofar as possible, as a condition of continued participation.</w:t>
      </w:r>
      <w:r w:rsidRPr="006C496E">
        <w:rPr>
          <w:vertAlign w:val="superscript"/>
        </w:rPr>
        <w:footnoteReference w:id="52"/>
      </w:r>
    </w:p>
    <w:p w14:paraId="4CA384B0" w14:textId="77777777" w:rsidR="00756C58" w:rsidRPr="006C496E" w:rsidRDefault="002E18ED" w:rsidP="002C1840">
      <w:pPr>
        <w:pStyle w:val="Titre1"/>
        <w:widowControl/>
      </w:pPr>
      <w:bookmarkStart w:id="13" w:name="_Toc151529014"/>
      <w:r w:rsidRPr="006C496E">
        <w:t>R</w:t>
      </w:r>
      <w:r w:rsidR="00756C58" w:rsidRPr="006C496E">
        <w:t>eferences</w:t>
      </w:r>
      <w:bookmarkEnd w:id="13"/>
    </w:p>
    <w:p w14:paraId="38261FFE" w14:textId="77777777" w:rsidR="00756C58" w:rsidRPr="006C496E" w:rsidRDefault="00A313CE" w:rsidP="002C1840">
      <w:r w:rsidRPr="006C496E">
        <w:t>See footnotes.</w:t>
      </w:r>
    </w:p>
    <w:p w14:paraId="29A614C3" w14:textId="77777777" w:rsidR="00756C58" w:rsidRPr="006C496E" w:rsidRDefault="002E18ED" w:rsidP="002C1840">
      <w:pPr>
        <w:pStyle w:val="Titre1"/>
        <w:widowControl/>
      </w:pPr>
      <w:bookmarkStart w:id="14" w:name="_Toc151529015"/>
      <w:r w:rsidRPr="006C496E">
        <w:t>R</w:t>
      </w:r>
      <w:r w:rsidR="00756C58" w:rsidRPr="006C496E">
        <w:t>evision History</w:t>
      </w:r>
      <w:bookmarkEnd w:id="14"/>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6C496E" w14:paraId="7D146386" w14:textId="77777777" w:rsidTr="00B7128D">
        <w:tc>
          <w:tcPr>
            <w:tcW w:w="2297" w:type="dxa"/>
            <w:tcBorders>
              <w:right w:val="single" w:sz="4" w:space="0" w:color="auto"/>
            </w:tcBorders>
            <w:shd w:val="clear" w:color="auto" w:fill="auto"/>
            <w:vAlign w:val="center"/>
          </w:tcPr>
          <w:p w14:paraId="63774D3C" w14:textId="77777777" w:rsidR="00756C58" w:rsidRPr="006C496E" w:rsidRDefault="00756C58" w:rsidP="002C1840">
            <w:pPr>
              <w:spacing w:before="0" w:after="0"/>
              <w:jc w:val="center"/>
              <w:rPr>
                <w:rFonts w:eastAsia="Calibri"/>
                <w:b/>
              </w:rPr>
            </w:pPr>
            <w:r w:rsidRPr="006C496E">
              <w:rPr>
                <w:rFonts w:eastAsia="Calibri"/>
                <w:b/>
              </w:rPr>
              <w:t>SOP Code</w:t>
            </w:r>
          </w:p>
        </w:tc>
        <w:tc>
          <w:tcPr>
            <w:tcW w:w="1559" w:type="dxa"/>
            <w:tcBorders>
              <w:left w:val="single" w:sz="4" w:space="0" w:color="auto"/>
              <w:right w:val="single" w:sz="4" w:space="0" w:color="auto"/>
            </w:tcBorders>
            <w:shd w:val="clear" w:color="auto" w:fill="auto"/>
            <w:vAlign w:val="center"/>
          </w:tcPr>
          <w:p w14:paraId="72DAF32D" w14:textId="77777777" w:rsidR="00756C58" w:rsidRPr="006C496E" w:rsidRDefault="00756C58" w:rsidP="002C1840">
            <w:pPr>
              <w:spacing w:before="0" w:after="0"/>
              <w:jc w:val="center"/>
              <w:rPr>
                <w:rFonts w:eastAsia="Calibri"/>
                <w:b/>
              </w:rPr>
            </w:pPr>
            <w:r w:rsidRPr="006C496E">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54AFF344" w14:textId="77777777" w:rsidR="00756C58" w:rsidRPr="006C496E" w:rsidRDefault="00756C58" w:rsidP="002C1840">
            <w:pPr>
              <w:spacing w:before="0" w:after="0"/>
              <w:jc w:val="left"/>
              <w:rPr>
                <w:rFonts w:eastAsia="Calibri"/>
                <w:b/>
              </w:rPr>
            </w:pPr>
            <w:r w:rsidRPr="006C496E">
              <w:rPr>
                <w:rFonts w:eastAsia="Calibri"/>
                <w:b/>
              </w:rPr>
              <w:t>Summary of Changes</w:t>
            </w:r>
          </w:p>
        </w:tc>
      </w:tr>
      <w:tr w:rsidR="00756C58" w:rsidRPr="006C496E" w14:paraId="7CF08AAA" w14:textId="77777777" w:rsidTr="00B7128D">
        <w:tc>
          <w:tcPr>
            <w:tcW w:w="2297" w:type="dxa"/>
            <w:tcBorders>
              <w:right w:val="single" w:sz="4" w:space="0" w:color="auto"/>
            </w:tcBorders>
            <w:shd w:val="clear" w:color="auto" w:fill="auto"/>
            <w:vAlign w:val="center"/>
          </w:tcPr>
          <w:p w14:paraId="123AF422" w14:textId="60EC2661" w:rsidR="00756C58" w:rsidRPr="006C496E" w:rsidRDefault="00756C58" w:rsidP="002C1840">
            <w:pPr>
              <w:spacing w:before="0" w:after="0"/>
              <w:jc w:val="left"/>
              <w:rPr>
                <w:rFonts w:eastAsia="Calibri" w:cs="Arial"/>
              </w:rPr>
            </w:pPr>
            <w:r w:rsidRPr="006C496E">
              <w:rPr>
                <w:rFonts w:eastAsia="Calibri"/>
              </w:rPr>
              <w:t>REB</w:t>
            </w:r>
            <w:r w:rsidR="00660163" w:rsidRPr="006C496E">
              <w:rPr>
                <w:rFonts w:eastAsia="Calibri"/>
              </w:rPr>
              <w:t>-</w:t>
            </w:r>
            <w:r w:rsidRPr="006C496E">
              <w:rPr>
                <w:rFonts w:eastAsia="Calibri"/>
              </w:rPr>
              <w:t>SOP</w:t>
            </w:r>
            <w:r w:rsidR="00660163" w:rsidRPr="006C496E">
              <w:rPr>
                <w:rFonts w:eastAsia="Calibri"/>
              </w:rPr>
              <w:t xml:space="preserve"> </w:t>
            </w:r>
            <w:r w:rsidR="00665846" w:rsidRPr="006C496E">
              <w:rPr>
                <w:rFonts w:eastAsia="Calibri"/>
              </w:rPr>
              <w:t>404</w:t>
            </w:r>
            <w:r w:rsidR="00196344" w:rsidRPr="006C496E">
              <w:rPr>
                <w:rFonts w:eastAsia="Calibri"/>
              </w:rPr>
              <w:t>-</w:t>
            </w:r>
            <w:r w:rsidR="00665846" w:rsidRPr="006C496E">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B477EB" w14:textId="5E89412F" w:rsidR="00756C58" w:rsidRPr="006C496E" w:rsidRDefault="00196344" w:rsidP="002C1840">
            <w:pPr>
              <w:spacing w:before="0" w:after="0"/>
              <w:jc w:val="center"/>
              <w:rPr>
                <w:rFonts w:eastAsia="Calibri"/>
              </w:rPr>
            </w:pPr>
            <w:r w:rsidRPr="006C496E">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8695BB8" w14:textId="77777777" w:rsidR="00756C58" w:rsidRPr="006C496E" w:rsidRDefault="00756C58" w:rsidP="002C1840">
            <w:pPr>
              <w:spacing w:before="0" w:after="0"/>
              <w:jc w:val="left"/>
              <w:rPr>
                <w:rFonts w:eastAsia="Calibri"/>
              </w:rPr>
            </w:pPr>
            <w:r w:rsidRPr="006C496E">
              <w:rPr>
                <w:rFonts w:eastAsia="Calibri"/>
              </w:rPr>
              <w:t xml:space="preserve">Original </w:t>
            </w:r>
            <w:r w:rsidR="00B43B4B" w:rsidRPr="006C496E">
              <w:rPr>
                <w:rFonts w:eastAsia="Calibri"/>
              </w:rPr>
              <w:t>v</w:t>
            </w:r>
            <w:r w:rsidRPr="006C496E">
              <w:rPr>
                <w:rFonts w:eastAsia="Calibri"/>
              </w:rPr>
              <w:t>ersion</w:t>
            </w:r>
          </w:p>
        </w:tc>
      </w:tr>
      <w:tr w:rsidR="00196344" w:rsidRPr="006C496E" w14:paraId="3707AD76" w14:textId="77777777" w:rsidTr="00B7128D">
        <w:tc>
          <w:tcPr>
            <w:tcW w:w="2297" w:type="dxa"/>
            <w:tcBorders>
              <w:right w:val="single" w:sz="4" w:space="0" w:color="auto"/>
            </w:tcBorders>
            <w:shd w:val="clear" w:color="auto" w:fill="auto"/>
            <w:vAlign w:val="center"/>
          </w:tcPr>
          <w:p w14:paraId="3304A075" w14:textId="307DDD76" w:rsidR="00196344" w:rsidRPr="006C496E" w:rsidRDefault="00196344" w:rsidP="00196344">
            <w:pPr>
              <w:spacing w:before="0" w:after="0"/>
              <w:jc w:val="left"/>
              <w:rPr>
                <w:rFonts w:eastAsia="Calibri"/>
              </w:rPr>
            </w:pPr>
            <w:r w:rsidRPr="006C496E">
              <w:rPr>
                <w:rFonts w:eastAsia="Calibri"/>
              </w:rPr>
              <w:t>REB-SOP 701-002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8C765B" w14:textId="7168B454" w:rsidR="00196344" w:rsidRPr="006C496E" w:rsidRDefault="00196344" w:rsidP="00196344">
            <w:pPr>
              <w:spacing w:before="0" w:after="0"/>
              <w:jc w:val="center"/>
              <w:rPr>
                <w:rFonts w:eastAsia="Calibri"/>
              </w:rPr>
            </w:pPr>
            <w:r w:rsidRPr="006C496E">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273EEA65" w14:textId="77777777" w:rsidR="00196344" w:rsidRPr="006C496E" w:rsidRDefault="00196344" w:rsidP="00196344">
            <w:pPr>
              <w:spacing w:before="0" w:after="0"/>
              <w:jc w:val="left"/>
              <w:rPr>
                <w:rFonts w:eastAsia="Calibri"/>
              </w:rPr>
            </w:pPr>
            <w:r w:rsidRPr="006C496E">
              <w:rPr>
                <w:rFonts w:eastAsia="Calibri"/>
              </w:rPr>
              <w:t xml:space="preserve">Updated in line with regulations in </w:t>
            </w:r>
            <w:proofErr w:type="gramStart"/>
            <w:r w:rsidRPr="006C496E">
              <w:rPr>
                <w:rFonts w:eastAsia="Calibri"/>
              </w:rPr>
              <w:t>effect</w:t>
            </w:r>
            <w:proofErr w:type="gramEnd"/>
          </w:p>
          <w:p w14:paraId="4EA55055" w14:textId="33C118EA" w:rsidR="00196344" w:rsidRPr="006C496E" w:rsidRDefault="00196344" w:rsidP="00196344">
            <w:pPr>
              <w:spacing w:before="0" w:after="0"/>
              <w:jc w:val="left"/>
              <w:rPr>
                <w:rFonts w:eastAsia="Calibri"/>
              </w:rPr>
            </w:pPr>
            <w:r w:rsidRPr="006C496E">
              <w:rPr>
                <w:rFonts w:eastAsia="Calibri"/>
              </w:rPr>
              <w:t>Updated references</w:t>
            </w:r>
          </w:p>
        </w:tc>
      </w:tr>
      <w:tr w:rsidR="00756C58" w:rsidRPr="006C496E" w14:paraId="69332A46" w14:textId="77777777" w:rsidTr="00B7128D">
        <w:tc>
          <w:tcPr>
            <w:tcW w:w="2297" w:type="dxa"/>
            <w:tcBorders>
              <w:right w:val="single" w:sz="4" w:space="0" w:color="auto"/>
            </w:tcBorders>
            <w:shd w:val="clear" w:color="auto" w:fill="auto"/>
            <w:vAlign w:val="center"/>
          </w:tcPr>
          <w:p w14:paraId="3C9666E0" w14:textId="77777777" w:rsidR="00756C58" w:rsidRPr="006C496E" w:rsidRDefault="00756C58" w:rsidP="002C1840">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0F58580" w14:textId="77777777" w:rsidR="00756C58" w:rsidRPr="006C496E" w:rsidRDefault="00756C58" w:rsidP="002C1840">
            <w:pPr>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60F6F72" w14:textId="77777777" w:rsidR="00756C58" w:rsidRPr="006C496E" w:rsidRDefault="00756C58" w:rsidP="002C1840">
            <w:pPr>
              <w:spacing w:before="0" w:after="0"/>
              <w:jc w:val="left"/>
              <w:rPr>
                <w:rFonts w:eastAsia="Calibri"/>
              </w:rPr>
            </w:pPr>
          </w:p>
        </w:tc>
      </w:tr>
    </w:tbl>
    <w:p w14:paraId="6AE9B2AB" w14:textId="77777777" w:rsidR="00756C58" w:rsidRPr="006C496E" w:rsidRDefault="002E18ED" w:rsidP="002C1840">
      <w:pPr>
        <w:pStyle w:val="Titre1"/>
        <w:widowControl/>
      </w:pPr>
      <w:bookmarkStart w:id="15" w:name="_Toc151529016"/>
      <w:r w:rsidRPr="006C496E">
        <w:t>Appendices</w:t>
      </w:r>
      <w:bookmarkEnd w:id="15"/>
    </w:p>
    <w:p w14:paraId="227831E6" w14:textId="77777777" w:rsidR="00756C58" w:rsidRPr="006C496E" w:rsidRDefault="00756C58" w:rsidP="002C1840"/>
    <w:sectPr w:rsidR="00756C58" w:rsidRPr="006C496E"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097C" w14:textId="77777777" w:rsidR="00760258" w:rsidRDefault="00760258" w:rsidP="0030269A">
      <w:pPr>
        <w:spacing w:before="0" w:after="0"/>
      </w:pPr>
      <w:r>
        <w:separator/>
      </w:r>
    </w:p>
  </w:endnote>
  <w:endnote w:type="continuationSeparator" w:id="0">
    <w:p w14:paraId="60D5FE3E" w14:textId="77777777" w:rsidR="00760258" w:rsidRDefault="00760258"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8AA7" w14:textId="77777777" w:rsidR="00B7128D" w:rsidRPr="00627E38" w:rsidRDefault="00B7128D" w:rsidP="002E18ED">
    <w:pPr>
      <w:pStyle w:val="Pieddepage"/>
      <w:pBdr>
        <w:bottom w:val="single" w:sz="4" w:space="1" w:color="auto"/>
      </w:pBdr>
      <w:rPr>
        <w:sz w:val="20"/>
        <w:szCs w:val="20"/>
      </w:rPr>
    </w:pPr>
  </w:p>
  <w:p w14:paraId="0000E178" w14:textId="4775EF5E" w:rsidR="00B7128D" w:rsidRPr="002E18ED" w:rsidRDefault="00B7128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2146DF">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7AD5" w14:textId="77777777" w:rsidR="00760258" w:rsidRDefault="00760258" w:rsidP="0030269A">
      <w:pPr>
        <w:spacing w:before="0" w:after="0"/>
      </w:pPr>
      <w:r>
        <w:separator/>
      </w:r>
    </w:p>
  </w:footnote>
  <w:footnote w:type="continuationSeparator" w:id="0">
    <w:p w14:paraId="595AE616" w14:textId="77777777" w:rsidR="00760258" w:rsidRDefault="00760258" w:rsidP="0030269A">
      <w:pPr>
        <w:spacing w:before="0" w:after="0"/>
      </w:pPr>
      <w:r>
        <w:continuationSeparator/>
      </w:r>
    </w:p>
  </w:footnote>
  <w:footnote w:id="1">
    <w:p w14:paraId="16246BE6" w14:textId="6684C88D"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r>
      <w:r w:rsidR="00E01654" w:rsidRPr="006C496E">
        <w:t>Guidance Document:</w:t>
      </w:r>
      <w:r w:rsidRPr="006C496E">
        <w:t xml:space="preserve"> Good Clinical Practice</w:t>
      </w:r>
      <w:r w:rsidR="00E01654" w:rsidRPr="006C496E">
        <w:t>: Integrated Addendum to</w:t>
      </w:r>
      <w:r w:rsidRPr="006C496E">
        <w:t xml:space="preserve"> E6(R1)</w:t>
      </w:r>
      <w:r w:rsidR="00E01654" w:rsidRPr="006C496E">
        <w:t xml:space="preserve"> ICH Topic E6(R2)</w:t>
      </w:r>
      <w:r w:rsidRPr="006C496E">
        <w:t xml:space="preserve">, Health Canada, </w:t>
      </w:r>
      <w:r w:rsidR="00E01654" w:rsidRPr="006C496E">
        <w:t>April 2019</w:t>
      </w:r>
      <w:r w:rsidRPr="006C496E">
        <w:t>, hereafter “ICH</w:t>
      </w:r>
      <w:r w:rsidR="004F77B0" w:rsidRPr="006C496E">
        <w:t> </w:t>
      </w:r>
      <w:r w:rsidRPr="006C496E">
        <w:t>GCP”</w:t>
      </w:r>
      <w:r w:rsidRPr="006C496E">
        <w:rPr>
          <w:rFonts w:cs="Calibri"/>
        </w:rPr>
        <w:t>, s. 3.1.2.</w:t>
      </w:r>
    </w:p>
  </w:footnote>
  <w:footnote w:id="2">
    <w:p w14:paraId="0E4C13ED" w14:textId="0CB48813"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ICH GCP, s. 3.1.2.</w:t>
      </w:r>
    </w:p>
  </w:footnote>
  <w:footnote w:id="3">
    <w:p w14:paraId="73C0D269" w14:textId="72925B07" w:rsidR="00BA727C" w:rsidRPr="006C496E" w:rsidRDefault="00BA727C">
      <w:pPr>
        <w:pStyle w:val="Notedebasdepage"/>
      </w:pPr>
      <w:r w:rsidRPr="006C496E">
        <w:rPr>
          <w:rStyle w:val="Appelnotedebasdep"/>
        </w:rPr>
        <w:footnoteRef/>
      </w:r>
      <w:r w:rsidRPr="006C496E">
        <w:t xml:space="preserve"> </w:t>
      </w:r>
      <w:r w:rsidRPr="006C496E">
        <w:tab/>
      </w:r>
      <w:r w:rsidR="00000F92" w:rsidRPr="006C496E">
        <w:t>REB-</w:t>
      </w:r>
      <w:r w:rsidRPr="006C496E">
        <w:t>SOP 701, s</w:t>
      </w:r>
      <w:r w:rsidR="00BE4A68" w:rsidRPr="006C496E">
        <w:t>.</w:t>
      </w:r>
      <w:r w:rsidRPr="006C496E">
        <w:t xml:space="preserve"> 5.2.4.</w:t>
      </w:r>
    </w:p>
  </w:footnote>
  <w:footnote w:id="4">
    <w:p w14:paraId="17A51583" w14:textId="613A429C" w:rsidR="00B7128D" w:rsidRPr="006C496E" w:rsidRDefault="00B7128D" w:rsidP="00665846">
      <w:pPr>
        <w:pStyle w:val="Notedebasdepage"/>
        <w:jc w:val="left"/>
      </w:pPr>
      <w:r w:rsidRPr="006C496E">
        <w:rPr>
          <w:rStyle w:val="Appelnotedebasdep"/>
          <w:rFonts w:cs="Calibri"/>
        </w:rPr>
        <w:footnoteRef/>
      </w:r>
      <w:r w:rsidRPr="006C496E">
        <w:rPr>
          <w:rFonts w:cs="Calibri"/>
        </w:rPr>
        <w:tab/>
      </w:r>
      <w:r w:rsidR="00BA727C" w:rsidRPr="006C496E">
        <w:rPr>
          <w:i/>
        </w:rPr>
        <w:t xml:space="preserve">Avis sur les conditions </w:t>
      </w:r>
      <w:proofErr w:type="spellStart"/>
      <w:r w:rsidR="00BA727C" w:rsidRPr="006C496E">
        <w:rPr>
          <w:i/>
        </w:rPr>
        <w:t>d’exercice</w:t>
      </w:r>
      <w:proofErr w:type="spellEnd"/>
      <w:r w:rsidR="00BA727C" w:rsidRPr="006C496E">
        <w:rPr>
          <w:i/>
        </w:rPr>
        <w:t xml:space="preserve"> des </w:t>
      </w:r>
      <w:proofErr w:type="spellStart"/>
      <w:r w:rsidR="00BA727C" w:rsidRPr="006C496E">
        <w:rPr>
          <w:i/>
        </w:rPr>
        <w:t>comités</w:t>
      </w:r>
      <w:proofErr w:type="spellEnd"/>
      <w:r w:rsidR="00BA727C" w:rsidRPr="006C496E">
        <w:rPr>
          <w:i/>
        </w:rPr>
        <w:t xml:space="preserve"> </w:t>
      </w:r>
      <w:proofErr w:type="spellStart"/>
      <w:r w:rsidR="00BA727C" w:rsidRPr="006C496E">
        <w:rPr>
          <w:i/>
        </w:rPr>
        <w:t>d’éthique</w:t>
      </w:r>
      <w:proofErr w:type="spellEnd"/>
      <w:r w:rsidR="00BA727C" w:rsidRPr="006C496E">
        <w:rPr>
          <w:i/>
        </w:rPr>
        <w:t xml:space="preserve"> de la recherche </w:t>
      </w:r>
      <w:proofErr w:type="spellStart"/>
      <w:r w:rsidR="00BA727C" w:rsidRPr="006C496E">
        <w:rPr>
          <w:i/>
        </w:rPr>
        <w:t>désignés</w:t>
      </w:r>
      <w:proofErr w:type="spellEnd"/>
      <w:r w:rsidR="00BA727C" w:rsidRPr="006C496E">
        <w:rPr>
          <w:i/>
        </w:rPr>
        <w:t xml:space="preserve"> </w:t>
      </w:r>
      <w:proofErr w:type="spellStart"/>
      <w:r w:rsidR="00BA727C" w:rsidRPr="006C496E">
        <w:rPr>
          <w:i/>
        </w:rPr>
        <w:t>ou</w:t>
      </w:r>
      <w:proofErr w:type="spellEnd"/>
      <w:r w:rsidR="00BA727C" w:rsidRPr="006C496E">
        <w:rPr>
          <w:i/>
        </w:rPr>
        <w:t xml:space="preserve"> </w:t>
      </w:r>
      <w:proofErr w:type="spellStart"/>
      <w:r w:rsidR="00BA727C" w:rsidRPr="006C496E">
        <w:rPr>
          <w:i/>
        </w:rPr>
        <w:t>institués</w:t>
      </w:r>
      <w:proofErr w:type="spellEnd"/>
      <w:r w:rsidR="00BA727C" w:rsidRPr="006C496E">
        <w:rPr>
          <w:i/>
        </w:rPr>
        <w:t xml:space="preserve"> par le </w:t>
      </w:r>
      <w:proofErr w:type="spellStart"/>
      <w:r w:rsidR="00BE4A68" w:rsidRPr="006C496E">
        <w:rPr>
          <w:i/>
        </w:rPr>
        <w:t>m</w:t>
      </w:r>
      <w:r w:rsidR="00BA727C" w:rsidRPr="006C496E">
        <w:rPr>
          <w:i/>
        </w:rPr>
        <w:t>inistre</w:t>
      </w:r>
      <w:proofErr w:type="spellEnd"/>
      <w:r w:rsidR="00BA727C" w:rsidRPr="006C496E">
        <w:rPr>
          <w:i/>
        </w:rPr>
        <w:t xml:space="preserve"> de la </w:t>
      </w:r>
      <w:proofErr w:type="spellStart"/>
      <w:r w:rsidR="00BA727C" w:rsidRPr="006C496E">
        <w:rPr>
          <w:i/>
        </w:rPr>
        <w:t>Santé</w:t>
      </w:r>
      <w:proofErr w:type="spellEnd"/>
      <w:r w:rsidR="00BA727C" w:rsidRPr="006C496E">
        <w:rPr>
          <w:i/>
        </w:rPr>
        <w:t xml:space="preserve"> et des Services </w:t>
      </w:r>
      <w:proofErr w:type="spellStart"/>
      <w:r w:rsidR="00BA727C" w:rsidRPr="006C496E">
        <w:rPr>
          <w:i/>
        </w:rPr>
        <w:t>sociaux</w:t>
      </w:r>
      <w:proofErr w:type="spellEnd"/>
      <w:r w:rsidR="00BA727C" w:rsidRPr="006C496E">
        <w:rPr>
          <w:i/>
        </w:rPr>
        <w:t xml:space="preserve"> </w:t>
      </w:r>
      <w:proofErr w:type="spellStart"/>
      <w:r w:rsidR="00BA727C" w:rsidRPr="006C496E">
        <w:rPr>
          <w:i/>
        </w:rPr>
        <w:t>en</w:t>
      </w:r>
      <w:proofErr w:type="spellEnd"/>
      <w:r w:rsidR="00BA727C" w:rsidRPr="006C496E">
        <w:rPr>
          <w:i/>
        </w:rPr>
        <w:t xml:space="preserve"> vertu de </w:t>
      </w:r>
      <w:proofErr w:type="spellStart"/>
      <w:r w:rsidR="00BA727C" w:rsidRPr="006C496E">
        <w:rPr>
          <w:i/>
        </w:rPr>
        <w:t>l’article</w:t>
      </w:r>
      <w:proofErr w:type="spellEnd"/>
      <w:r w:rsidR="00BA727C" w:rsidRPr="006C496E">
        <w:rPr>
          <w:i/>
        </w:rPr>
        <w:t xml:space="preserve"> 21 du Code civil, Gazette </w:t>
      </w:r>
      <w:proofErr w:type="spellStart"/>
      <w:r w:rsidR="00BA727C" w:rsidRPr="006C496E">
        <w:rPr>
          <w:i/>
        </w:rPr>
        <w:t>officielle</w:t>
      </w:r>
      <w:proofErr w:type="spellEnd"/>
      <w:r w:rsidR="00BA727C" w:rsidRPr="006C496E">
        <w:rPr>
          <w:i/>
        </w:rPr>
        <w:t xml:space="preserve"> du Québec</w:t>
      </w:r>
      <w:r w:rsidR="00BA727C" w:rsidRPr="006C496E">
        <w:t>, Part I, vol. 35, 1998, hereafter “</w:t>
      </w:r>
      <w:r w:rsidR="00BA727C" w:rsidRPr="006C496E">
        <w:rPr>
          <w:i/>
        </w:rPr>
        <w:t>Avis</w:t>
      </w:r>
      <w:r w:rsidR="00BA727C" w:rsidRPr="006C496E">
        <w:t xml:space="preserve">”, </w:t>
      </w:r>
      <w:r w:rsidR="00BA727C" w:rsidRPr="006C496E">
        <w:rPr>
          <w:rFonts w:cs="Calibri"/>
        </w:rPr>
        <w:t>p. 1039</w:t>
      </w:r>
      <w:r w:rsidRPr="006C496E">
        <w:rPr>
          <w:rFonts w:cs="Calibri"/>
        </w:rPr>
        <w:t xml:space="preserve">; Civil Code of </w:t>
      </w:r>
      <w:r w:rsidRPr="006C496E">
        <w:rPr>
          <w:rFonts w:cs="Calibri"/>
        </w:rPr>
        <w:t>Québec</w:t>
      </w:r>
      <w:r w:rsidR="006C496E" w:rsidRPr="006C496E">
        <w:t xml:space="preserve">, hereafter </w:t>
      </w:r>
      <w:r w:rsidR="006C496E">
        <w:t>“</w:t>
      </w:r>
      <w:r w:rsidRPr="006C496E">
        <w:t>CCQ</w:t>
      </w:r>
      <w:r w:rsidR="006C496E">
        <w:t>”</w:t>
      </w:r>
      <w:r w:rsidRPr="006C496E">
        <w:t>, c. CCQ</w:t>
      </w:r>
      <w:r w:rsidRPr="006C496E">
        <w:t>-1991</w:t>
      </w:r>
      <w:r w:rsidRPr="006C496E">
        <w:rPr>
          <w:rFonts w:cs="Calibri"/>
        </w:rPr>
        <w:t>, art. 20 and 21 para. 4</w:t>
      </w:r>
      <w:r w:rsidR="00BA727C" w:rsidRPr="006C496E">
        <w:rPr>
          <w:rFonts w:cs="Calibri"/>
        </w:rPr>
        <w:t xml:space="preserve"> and 5</w:t>
      </w:r>
      <w:r w:rsidRPr="006C496E">
        <w:rPr>
          <w:rFonts w:cs="Calibri"/>
        </w:rPr>
        <w:t>;</w:t>
      </w:r>
      <w:r w:rsidR="00BA727C" w:rsidRPr="006C496E">
        <w:rPr>
          <w:rFonts w:cs="Calibri"/>
        </w:rPr>
        <w:t xml:space="preserve"> </w:t>
      </w:r>
      <w:r w:rsidR="00BA727C" w:rsidRPr="006C496E">
        <w:t xml:space="preserve">Operational Guidelines for Ethics Committees that Review Biomedical Research, World Health Organization (WHO), 2000, hereafter “TDR”, s. </w:t>
      </w:r>
      <w:r w:rsidR="00BA727C" w:rsidRPr="006C496E">
        <w:rPr>
          <w:rFonts w:cs="Calibri"/>
        </w:rPr>
        <w:t>6.2.5</w:t>
      </w:r>
      <w:r w:rsidRPr="006C496E">
        <w:rPr>
          <w:rFonts w:cs="Calibri"/>
        </w:rPr>
        <w:t>.</w:t>
      </w:r>
    </w:p>
  </w:footnote>
  <w:footnote w:id="5">
    <w:p w14:paraId="3336EEB9" w14:textId="4B584260" w:rsidR="00B7128D" w:rsidRPr="006C496E" w:rsidRDefault="00B7128D" w:rsidP="00665846">
      <w:pPr>
        <w:pStyle w:val="Notedebasdepage"/>
        <w:jc w:val="left"/>
      </w:pPr>
      <w:r w:rsidRPr="006C496E">
        <w:rPr>
          <w:rStyle w:val="Appelnotedebasdep"/>
          <w:rFonts w:cs="Calibri"/>
        </w:rPr>
        <w:footnoteRef/>
      </w:r>
      <w:r w:rsidRPr="006C496E">
        <w:rPr>
          <w:rFonts w:cs="Calibri"/>
        </w:rPr>
        <w:tab/>
      </w:r>
      <w:r w:rsidR="00232E2F" w:rsidRPr="006C496E">
        <w:rPr>
          <w:rFonts w:cs="Calibri"/>
          <w:iCs/>
        </w:rPr>
        <w:t>REB</w:t>
      </w:r>
      <w:r w:rsidR="008B1AC3">
        <w:rPr>
          <w:rFonts w:cs="Calibri"/>
          <w:iCs/>
        </w:rPr>
        <w:t>-SOP</w:t>
      </w:r>
      <w:r w:rsidR="00BA727C" w:rsidRPr="006C496E">
        <w:rPr>
          <w:rFonts w:cs="Calibri"/>
          <w:iCs/>
        </w:rPr>
        <w:t xml:space="preserve"> 402-002</w:t>
      </w:r>
      <w:r w:rsidRPr="006C496E">
        <w:rPr>
          <w:rFonts w:cs="Calibri"/>
        </w:rPr>
        <w:t>.</w:t>
      </w:r>
    </w:p>
  </w:footnote>
  <w:footnote w:id="6">
    <w:p w14:paraId="5D710885" w14:textId="585A1455" w:rsidR="00B7128D" w:rsidRPr="006C496E" w:rsidRDefault="00B7128D" w:rsidP="00665846">
      <w:pPr>
        <w:pStyle w:val="Notedebasdepage"/>
        <w:jc w:val="left"/>
      </w:pPr>
      <w:r w:rsidRPr="006C496E">
        <w:rPr>
          <w:rStyle w:val="Appelnotedebasdep"/>
          <w:rFonts w:cs="Calibri"/>
        </w:rPr>
        <w:footnoteRef/>
      </w:r>
      <w:r w:rsidRPr="006C496E">
        <w:rPr>
          <w:rFonts w:cs="Calibri"/>
        </w:rPr>
        <w:tab/>
      </w:r>
      <w:bookmarkStart w:id="6" w:name="_Hlk151528689"/>
      <w:r w:rsidR="001C44AB" w:rsidRPr="006C496E">
        <w:rPr>
          <w:rFonts w:ascii="Calibri" w:hAnsi="Calibri" w:cs="Calibri"/>
        </w:rPr>
        <w:t xml:space="preserve">Canadian Institutes of Health Research, Natural Sciences and Engineering Research Council of Canada, and Social Sciences and Humanities Research Council of Canada, </w:t>
      </w:r>
      <w:r w:rsidR="001C44AB" w:rsidRPr="006C496E">
        <w:rPr>
          <w:rFonts w:ascii="Calibri" w:hAnsi="Calibri" w:cs="Calibri"/>
          <w:i/>
          <w:iCs/>
        </w:rPr>
        <w:t>Tri-Council Policy Statement: Ethical Conduct for Research Involving Humans</w:t>
      </w:r>
      <w:r w:rsidR="001C44AB" w:rsidRPr="006C496E">
        <w:rPr>
          <w:rFonts w:ascii="Calibri" w:hAnsi="Calibri" w:cs="Calibri"/>
        </w:rPr>
        <w:t xml:space="preserve">, December 2018, hereafter “TCPS2”, </w:t>
      </w:r>
      <w:bookmarkEnd w:id="6"/>
      <w:r w:rsidR="00BA727C" w:rsidRPr="006C496E">
        <w:t xml:space="preserve">under </w:t>
      </w:r>
      <w:r w:rsidRPr="006C496E">
        <w:rPr>
          <w:rFonts w:cs="Calibri"/>
        </w:rPr>
        <w:t>art. 11.</w:t>
      </w:r>
      <w:r w:rsidR="00BA727C" w:rsidRPr="006C496E">
        <w:rPr>
          <w:rFonts w:cs="Calibri"/>
        </w:rPr>
        <w:t>5</w:t>
      </w:r>
      <w:r w:rsidRPr="006C496E">
        <w:rPr>
          <w:rFonts w:cs="Calibri"/>
        </w:rPr>
        <w:t>.</w:t>
      </w:r>
    </w:p>
  </w:footnote>
  <w:footnote w:id="7">
    <w:p w14:paraId="67981AE1" w14:textId="77A4CD5D" w:rsidR="00BA727C" w:rsidRPr="006C496E" w:rsidRDefault="00BA727C">
      <w:pPr>
        <w:pStyle w:val="Notedebasdepage"/>
      </w:pPr>
      <w:r w:rsidRPr="006C496E">
        <w:rPr>
          <w:rStyle w:val="Appelnotedebasdep"/>
        </w:rPr>
        <w:footnoteRef/>
      </w:r>
      <w:r w:rsidRPr="006C496E">
        <w:t xml:space="preserve"> </w:t>
      </w:r>
      <w:r w:rsidRPr="006C496E">
        <w:tab/>
        <w:t>Act Respecting Health Services and Social Services, CQLR, c. S-4.2, s. 19.2.</w:t>
      </w:r>
    </w:p>
  </w:footnote>
  <w:footnote w:id="8">
    <w:p w14:paraId="1F499E10" w14:textId="49E82C18" w:rsidR="00B7128D" w:rsidRPr="006C496E" w:rsidRDefault="00B7128D" w:rsidP="00665846">
      <w:pPr>
        <w:pStyle w:val="Notedebasdepage"/>
        <w:jc w:val="left"/>
      </w:pPr>
      <w:r w:rsidRPr="006C496E">
        <w:rPr>
          <w:rStyle w:val="Appelnotedebasdep"/>
          <w:rFonts w:cs="Calibri"/>
        </w:rPr>
        <w:footnoteRef/>
      </w:r>
      <w:r w:rsidRPr="006C496E">
        <w:rPr>
          <w:rFonts w:cs="Calibri"/>
        </w:rPr>
        <w:tab/>
        <w:t xml:space="preserve">TDR, s. 6.2.2, etc.; TCPS2, </w:t>
      </w:r>
      <w:r w:rsidR="00F32160" w:rsidRPr="006C496E">
        <w:rPr>
          <w:rFonts w:cs="Calibri"/>
        </w:rPr>
        <w:t>Application under art. 3.1</w:t>
      </w:r>
      <w:r w:rsidRPr="006C496E">
        <w:rPr>
          <w:rFonts w:cs="Calibri"/>
        </w:rPr>
        <w:t>.</w:t>
      </w:r>
    </w:p>
  </w:footnote>
  <w:footnote w:id="9">
    <w:p w14:paraId="6641976A" w14:textId="6E45335D"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ab/>
      </w:r>
      <w:r w:rsidRPr="006C496E">
        <w:rPr>
          <w:rFonts w:cs="Calibri"/>
        </w:rPr>
        <w:t xml:space="preserve">TDR, s. 6.2.5, etc.; TCPS2, </w:t>
      </w:r>
      <w:r w:rsidR="00F32160" w:rsidRPr="006C496E">
        <w:rPr>
          <w:rFonts w:cs="Calibri"/>
        </w:rPr>
        <w:t xml:space="preserve">Application under </w:t>
      </w:r>
      <w:r w:rsidRPr="006C496E">
        <w:rPr>
          <w:rFonts w:cs="Calibri"/>
        </w:rPr>
        <w:t xml:space="preserve">art. 3.1 (a); </w:t>
      </w:r>
      <w:r w:rsidR="00F32160" w:rsidRPr="006C496E">
        <w:rPr>
          <w:rFonts w:cs="Calibri"/>
        </w:rPr>
        <w:t xml:space="preserve">ICH GCP, art. 4.8.3; </w:t>
      </w:r>
      <w:r w:rsidRPr="006C496E">
        <w:rPr>
          <w:rFonts w:cs="Calibri"/>
        </w:rPr>
        <w:t>CCQ, art. 10 para. 2.</w:t>
      </w:r>
    </w:p>
  </w:footnote>
  <w:footnote w:id="10">
    <w:p w14:paraId="37A460D8" w14:textId="6A52E2E8" w:rsidR="00F32160" w:rsidRPr="006C496E" w:rsidRDefault="00F32160">
      <w:pPr>
        <w:pStyle w:val="Notedebasdepage"/>
      </w:pPr>
      <w:r w:rsidRPr="006C496E">
        <w:rPr>
          <w:rStyle w:val="Appelnotedebasdep"/>
        </w:rPr>
        <w:footnoteRef/>
      </w:r>
      <w:r w:rsidRPr="006C496E">
        <w:t xml:space="preserve"> </w:t>
      </w:r>
      <w:r w:rsidRPr="006C496E">
        <w:tab/>
        <w:t>TCPS2, art. 3.</w:t>
      </w:r>
      <w:r w:rsidR="007351AD" w:rsidRPr="006C496E">
        <w:t>4</w:t>
      </w:r>
      <w:r w:rsidRPr="006C496E">
        <w:t>.</w:t>
      </w:r>
    </w:p>
  </w:footnote>
  <w:footnote w:id="11">
    <w:p w14:paraId="190250C6" w14:textId="37233F29" w:rsidR="00B7128D" w:rsidRPr="006C496E" w:rsidRDefault="00B7128D" w:rsidP="00665846">
      <w:pPr>
        <w:pStyle w:val="Notedebasdepage"/>
        <w:jc w:val="left"/>
      </w:pPr>
      <w:r w:rsidRPr="006C496E">
        <w:rPr>
          <w:rStyle w:val="Appelnotedebasdep"/>
          <w:rFonts w:cs="Calibri"/>
        </w:rPr>
        <w:footnoteRef/>
      </w:r>
      <w:r w:rsidRPr="006C496E">
        <w:rPr>
          <w:rFonts w:cs="Calibri"/>
        </w:rPr>
        <w:tab/>
        <w:t>CCQ, art. 24 para. 1; TCPS2, art. 3.12</w:t>
      </w:r>
      <w:r w:rsidR="00F32160" w:rsidRPr="006C496E">
        <w:rPr>
          <w:rFonts w:cs="Calibri"/>
        </w:rPr>
        <w:t>; ICH GCP, art. 4.8.8</w:t>
      </w:r>
      <w:r w:rsidRPr="006C496E">
        <w:rPr>
          <w:rFonts w:cs="Calibri"/>
        </w:rPr>
        <w:t>.</w:t>
      </w:r>
    </w:p>
  </w:footnote>
  <w:footnote w:id="12">
    <w:p w14:paraId="08E1696A" w14:textId="2A01659D" w:rsidR="00B7128D" w:rsidRPr="006C496E" w:rsidRDefault="00B7128D" w:rsidP="00665846">
      <w:pPr>
        <w:pStyle w:val="Notedebasdepage"/>
        <w:jc w:val="left"/>
      </w:pPr>
      <w:r w:rsidRPr="006C496E">
        <w:rPr>
          <w:rStyle w:val="Appelnotedebasdep"/>
          <w:rFonts w:cs="Calibri"/>
        </w:rPr>
        <w:footnoteRef/>
      </w:r>
      <w:r w:rsidRPr="006C496E">
        <w:rPr>
          <w:rFonts w:cs="Calibri"/>
        </w:rPr>
        <w:tab/>
        <w:t>“</w:t>
      </w:r>
      <w:r w:rsidR="00BE4A68" w:rsidRPr="006C496E">
        <w:rPr>
          <w:rFonts w:cs="Calibri"/>
        </w:rPr>
        <w:t>C</w:t>
      </w:r>
      <w:r w:rsidRPr="006C496E">
        <w:rPr>
          <w:rFonts w:cs="Calibri"/>
        </w:rPr>
        <w:t xml:space="preserve">onsent to research may be given otherwise than in writing if justified in the circumstances in the opinion of a research ethics committee. In such a case, the committee determines the proper manner, for evidential purposes, of obtaining </w:t>
      </w:r>
      <w:proofErr w:type="gramStart"/>
      <w:r w:rsidRPr="006C496E">
        <w:rPr>
          <w:rFonts w:cs="Calibri"/>
        </w:rPr>
        <w:t>consent“ (</w:t>
      </w:r>
      <w:proofErr w:type="gramEnd"/>
      <w:r w:rsidRPr="006C496E">
        <w:rPr>
          <w:rFonts w:cs="Calibri"/>
        </w:rPr>
        <w:t xml:space="preserve">CCQ, art. 24 para. 2). </w:t>
      </w:r>
    </w:p>
  </w:footnote>
  <w:footnote w:id="13">
    <w:p w14:paraId="55EBF5D0" w14:textId="3CDB92BE" w:rsidR="00F32160" w:rsidRPr="006C496E" w:rsidRDefault="00F32160">
      <w:pPr>
        <w:pStyle w:val="Notedebasdepage"/>
      </w:pPr>
      <w:r w:rsidRPr="006C496E">
        <w:rPr>
          <w:rStyle w:val="Appelnotedebasdep"/>
        </w:rPr>
        <w:footnoteRef/>
      </w:r>
      <w:r w:rsidRPr="006C496E">
        <w:t xml:space="preserve"> </w:t>
      </w:r>
      <w:r w:rsidRPr="006C496E">
        <w:tab/>
        <w:t>TCPS2, art. 5.5B.</w:t>
      </w:r>
    </w:p>
  </w:footnote>
  <w:footnote w:id="14">
    <w:p w14:paraId="6EABB646" w14:textId="782C01E4"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TCPS2, </w:t>
      </w:r>
      <w:r w:rsidR="00BE4A68" w:rsidRPr="006C496E">
        <w:rPr>
          <w:rFonts w:cs="Calibri"/>
        </w:rPr>
        <w:t xml:space="preserve">Application under </w:t>
      </w:r>
      <w:r w:rsidRPr="006C496E">
        <w:rPr>
          <w:rFonts w:cs="Calibri"/>
        </w:rPr>
        <w:t>art. 3.2 (a).</w:t>
      </w:r>
    </w:p>
  </w:footnote>
  <w:footnote w:id="15">
    <w:p w14:paraId="7C488058" w14:textId="5116DEDB" w:rsidR="007351AD" w:rsidRPr="006C496E" w:rsidRDefault="007351AD">
      <w:pPr>
        <w:pStyle w:val="Notedebasdepage"/>
      </w:pPr>
      <w:r w:rsidRPr="006C496E">
        <w:rPr>
          <w:rStyle w:val="Appelnotedebasdep"/>
        </w:rPr>
        <w:footnoteRef/>
      </w:r>
      <w:r w:rsidRPr="006C496E">
        <w:t xml:space="preserve"> </w:t>
      </w:r>
      <w:r w:rsidRPr="006C496E">
        <w:tab/>
        <w:t>IHC GCP, art. 4.8.10</w:t>
      </w:r>
      <w:r w:rsidR="00EE6C21" w:rsidRPr="006C496E">
        <w:t xml:space="preserve"> </w:t>
      </w:r>
      <w:r w:rsidRPr="006C496E">
        <w:t>(b)</w:t>
      </w:r>
      <w:r w:rsidR="00BE4A68" w:rsidRPr="006C496E">
        <w:t>; IHC GCP, art. 4.8.10 (a)</w:t>
      </w:r>
      <w:r w:rsidRPr="006C496E">
        <w:t>.</w:t>
      </w:r>
    </w:p>
  </w:footnote>
  <w:footnote w:id="16">
    <w:p w14:paraId="41991888" w14:textId="1EA097F1" w:rsidR="007351AD" w:rsidRPr="006C496E" w:rsidRDefault="007351AD">
      <w:pPr>
        <w:pStyle w:val="Notedebasdepage"/>
      </w:pPr>
      <w:r w:rsidRPr="006C496E">
        <w:rPr>
          <w:rStyle w:val="Appelnotedebasdep"/>
        </w:rPr>
        <w:footnoteRef/>
      </w:r>
      <w:r w:rsidRPr="006C496E">
        <w:t xml:space="preserve"> </w:t>
      </w:r>
      <w:r w:rsidRPr="006C496E">
        <w:tab/>
        <w:t>IHC GCP, art. 4.8.10</w:t>
      </w:r>
      <w:r w:rsidR="00EE6C21" w:rsidRPr="006C496E">
        <w:t xml:space="preserve"> (c), (d) and (f).</w:t>
      </w:r>
    </w:p>
  </w:footnote>
  <w:footnote w:id="17">
    <w:p w14:paraId="6DB28076" w14:textId="35AF8B08" w:rsidR="007351AD" w:rsidRPr="006C496E" w:rsidRDefault="007351AD">
      <w:pPr>
        <w:pStyle w:val="Notedebasdepage"/>
      </w:pPr>
      <w:r w:rsidRPr="006C496E">
        <w:rPr>
          <w:rStyle w:val="Appelnotedebasdep"/>
        </w:rPr>
        <w:footnoteRef/>
      </w:r>
      <w:r w:rsidRPr="006C496E">
        <w:t xml:space="preserve"> </w:t>
      </w:r>
      <w:r w:rsidR="00EE6C21" w:rsidRPr="006C496E">
        <w:tab/>
        <w:t>IHC GCP, art. 4.8.10 (c) and (d).</w:t>
      </w:r>
    </w:p>
  </w:footnote>
  <w:footnote w:id="18">
    <w:p w14:paraId="4C7C9869" w14:textId="1804C961"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TCPS2, </w:t>
      </w:r>
      <w:r w:rsidR="00EE6C21" w:rsidRPr="006C496E">
        <w:rPr>
          <w:rFonts w:cs="Calibri"/>
        </w:rPr>
        <w:t xml:space="preserve">Application under </w:t>
      </w:r>
      <w:r w:rsidRPr="006C496E">
        <w:rPr>
          <w:rFonts w:cs="Calibri"/>
        </w:rPr>
        <w:t>art. 3.2 (b)</w:t>
      </w:r>
      <w:r w:rsidR="00EE6C21" w:rsidRPr="006C496E">
        <w:rPr>
          <w:rFonts w:cs="Calibri"/>
        </w:rPr>
        <w:t xml:space="preserve">; </w:t>
      </w:r>
      <w:r w:rsidR="00EE6C21" w:rsidRPr="006C496E">
        <w:t>IHC GCP, art. 4.8.10 (</w:t>
      </w:r>
      <w:r w:rsidR="00BE4A68" w:rsidRPr="006C496E">
        <w:t>e</w:t>
      </w:r>
      <w:r w:rsidR="00EE6C21" w:rsidRPr="006C496E">
        <w:t>)</w:t>
      </w:r>
      <w:r w:rsidRPr="006C496E">
        <w:rPr>
          <w:rFonts w:cs="Calibri"/>
        </w:rPr>
        <w:t>.</w:t>
      </w:r>
    </w:p>
  </w:footnote>
  <w:footnote w:id="19">
    <w:p w14:paraId="62EFCD15" w14:textId="2C51D7A2"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vertAlign w:val="superscript"/>
        </w:rPr>
        <w:tab/>
      </w:r>
      <w:r w:rsidRPr="006C496E">
        <w:rPr>
          <w:rFonts w:cs="Calibri"/>
        </w:rPr>
        <w:t xml:space="preserve">TCPS2, </w:t>
      </w:r>
      <w:r w:rsidR="00EE6C21" w:rsidRPr="006C496E">
        <w:rPr>
          <w:rFonts w:cs="Calibri"/>
        </w:rPr>
        <w:t xml:space="preserve">Application under </w:t>
      </w:r>
      <w:r w:rsidRPr="006C496E">
        <w:rPr>
          <w:rFonts w:cs="Calibri"/>
        </w:rPr>
        <w:t>art. 3.2 (c)</w:t>
      </w:r>
      <w:r w:rsidR="00EE6C21" w:rsidRPr="006C496E">
        <w:rPr>
          <w:rFonts w:cs="Calibri"/>
        </w:rPr>
        <w:t xml:space="preserve">; </w:t>
      </w:r>
      <w:r w:rsidR="00EE6C21" w:rsidRPr="006C496E">
        <w:t>IHC GCP, art. 4.8.10 (</w:t>
      </w:r>
      <w:r w:rsidR="00BE4A68" w:rsidRPr="006C496E">
        <w:t>h</w:t>
      </w:r>
      <w:r w:rsidR="00EE6C21" w:rsidRPr="006C496E">
        <w:t>)</w:t>
      </w:r>
      <w:r w:rsidRPr="006C496E">
        <w:rPr>
          <w:rFonts w:cs="Calibri"/>
        </w:rPr>
        <w:t>.</w:t>
      </w:r>
    </w:p>
  </w:footnote>
  <w:footnote w:id="20">
    <w:p w14:paraId="68B8CFCF" w14:textId="26EB3E33" w:rsidR="007351AD" w:rsidRPr="006C496E" w:rsidRDefault="007351AD">
      <w:pPr>
        <w:pStyle w:val="Notedebasdepage"/>
      </w:pPr>
      <w:r w:rsidRPr="006C496E">
        <w:rPr>
          <w:rStyle w:val="Appelnotedebasdep"/>
        </w:rPr>
        <w:footnoteRef/>
      </w:r>
      <w:r w:rsidRPr="006C496E">
        <w:t xml:space="preserve"> </w:t>
      </w:r>
      <w:r w:rsidR="00EE6C21" w:rsidRPr="006C496E">
        <w:tab/>
        <w:t>IHC GCP, art. 4.8.10 (g).</w:t>
      </w:r>
    </w:p>
  </w:footnote>
  <w:footnote w:id="21">
    <w:p w14:paraId="249B8FC6" w14:textId="2E6DC1FB"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TCPS2, </w:t>
      </w:r>
      <w:r w:rsidR="00EE6C21" w:rsidRPr="006C496E">
        <w:rPr>
          <w:rFonts w:cs="Calibri"/>
        </w:rPr>
        <w:t xml:space="preserve">Application under </w:t>
      </w:r>
      <w:r w:rsidRPr="006C496E">
        <w:rPr>
          <w:rFonts w:cs="Calibri"/>
        </w:rPr>
        <w:t>art. 3.2 (d)</w:t>
      </w:r>
      <w:r w:rsidR="00EE6C21" w:rsidRPr="006C496E">
        <w:rPr>
          <w:rFonts w:cs="Calibri"/>
        </w:rPr>
        <w:t xml:space="preserve">; </w:t>
      </w:r>
      <w:r w:rsidR="00EE6C21" w:rsidRPr="006C496E">
        <w:t>IHC GCP, art. 4.8.10 (m)</w:t>
      </w:r>
      <w:r w:rsidRPr="006C496E">
        <w:rPr>
          <w:rFonts w:cs="Calibri"/>
        </w:rPr>
        <w:t>.</w:t>
      </w:r>
    </w:p>
  </w:footnote>
  <w:footnote w:id="22">
    <w:p w14:paraId="7EE75D0B" w14:textId="347DF1A2"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vertAlign w:val="superscript"/>
        </w:rPr>
        <w:tab/>
      </w:r>
      <w:r w:rsidRPr="006C496E">
        <w:rPr>
          <w:rFonts w:cs="Calibri"/>
        </w:rPr>
        <w:t xml:space="preserve">CCQ, art. 24 para. 3; TCPS2, art. 3.1 (b) and </w:t>
      </w:r>
      <w:r w:rsidR="00EE6C21" w:rsidRPr="006C496E">
        <w:rPr>
          <w:rFonts w:cs="Calibri"/>
        </w:rPr>
        <w:t xml:space="preserve">Application under </w:t>
      </w:r>
      <w:r w:rsidRPr="006C496E">
        <w:rPr>
          <w:rFonts w:cs="Calibri"/>
        </w:rPr>
        <w:t>3.2 (d)</w:t>
      </w:r>
      <w:r w:rsidR="00EE6C21" w:rsidRPr="006C496E">
        <w:rPr>
          <w:rFonts w:cs="Calibri"/>
        </w:rPr>
        <w:t xml:space="preserve">; </w:t>
      </w:r>
      <w:r w:rsidR="00EE6C21" w:rsidRPr="006C496E">
        <w:t>IHC GCP, art. 4.8.10 (m) and (p)</w:t>
      </w:r>
      <w:r w:rsidRPr="006C496E">
        <w:rPr>
          <w:rFonts w:cs="Calibri"/>
        </w:rPr>
        <w:t>.</w:t>
      </w:r>
    </w:p>
  </w:footnote>
  <w:footnote w:id="23">
    <w:p w14:paraId="0CE95F18" w14:textId="239BDFC7"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vertAlign w:val="superscript"/>
        </w:rPr>
        <w:tab/>
      </w:r>
      <w:r w:rsidRPr="006C496E">
        <w:rPr>
          <w:rFonts w:cs="Calibri"/>
        </w:rPr>
        <w:t xml:space="preserve">TDR, s. 6.2.5.4; TCPS2, art. 3.1 (b) and </w:t>
      </w:r>
      <w:r w:rsidR="00EE6C21" w:rsidRPr="006C496E">
        <w:rPr>
          <w:rFonts w:cs="Calibri"/>
        </w:rPr>
        <w:t xml:space="preserve">Application under </w:t>
      </w:r>
      <w:r w:rsidRPr="006C496E">
        <w:rPr>
          <w:rFonts w:cs="Calibri"/>
        </w:rPr>
        <w:t>3.2 (d).</w:t>
      </w:r>
    </w:p>
  </w:footnote>
  <w:footnote w:id="24">
    <w:p w14:paraId="6FF1C500" w14:textId="1A82ED5D"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vertAlign w:val="superscript"/>
        </w:rPr>
        <w:tab/>
      </w:r>
      <w:r w:rsidRPr="006C496E">
        <w:rPr>
          <w:rFonts w:cs="Calibri"/>
        </w:rPr>
        <w:t xml:space="preserve">TCPS2, art. 3.1 (c) and </w:t>
      </w:r>
      <w:r w:rsidR="00EE6C21" w:rsidRPr="006C496E">
        <w:rPr>
          <w:rFonts w:cs="Calibri"/>
        </w:rPr>
        <w:t xml:space="preserve">Application under </w:t>
      </w:r>
      <w:r w:rsidRPr="006C496E">
        <w:rPr>
          <w:rFonts w:cs="Calibri"/>
        </w:rPr>
        <w:t>3.2 (d).</w:t>
      </w:r>
    </w:p>
  </w:footnote>
  <w:footnote w:id="25">
    <w:p w14:paraId="291F946D" w14:textId="0BD04DCD"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TCPS2, </w:t>
      </w:r>
      <w:r w:rsidR="00EE6C21" w:rsidRPr="006C496E">
        <w:rPr>
          <w:rFonts w:cs="Calibri"/>
        </w:rPr>
        <w:t xml:space="preserve">Application under </w:t>
      </w:r>
      <w:r w:rsidRPr="006C496E">
        <w:rPr>
          <w:rFonts w:cs="Calibri"/>
        </w:rPr>
        <w:t>art. 3.2 (e).</w:t>
      </w:r>
    </w:p>
  </w:footnote>
  <w:footnote w:id="26">
    <w:p w14:paraId="3B8DE427" w14:textId="14D61C30"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TCPS2, </w:t>
      </w:r>
      <w:r w:rsidR="00EE6C21" w:rsidRPr="006C496E">
        <w:rPr>
          <w:rFonts w:cs="Calibri"/>
          <w:i/>
          <w:iCs/>
        </w:rPr>
        <w:t>Ibid</w:t>
      </w:r>
      <w:r w:rsidRPr="006C496E">
        <w:rPr>
          <w:rFonts w:cs="Calibri"/>
        </w:rPr>
        <w:t>.</w:t>
      </w:r>
    </w:p>
  </w:footnote>
  <w:footnote w:id="27">
    <w:p w14:paraId="4D767BBE" w14:textId="1059AFF4"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TDR, s. 6.2.6.7; TCPS2, </w:t>
      </w:r>
      <w:r w:rsidR="00EE6C21" w:rsidRPr="006C496E">
        <w:rPr>
          <w:rFonts w:cs="Calibri"/>
        </w:rPr>
        <w:t xml:space="preserve">Application under </w:t>
      </w:r>
      <w:r w:rsidRPr="006C496E">
        <w:rPr>
          <w:rFonts w:cs="Calibri"/>
        </w:rPr>
        <w:t>art. 3.2 (f).</w:t>
      </w:r>
    </w:p>
  </w:footnote>
  <w:footnote w:id="28">
    <w:p w14:paraId="5575FE1D" w14:textId="526B8D9F"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TCPS2, </w:t>
      </w:r>
      <w:r w:rsidR="00EE6C21" w:rsidRPr="006C496E">
        <w:rPr>
          <w:rFonts w:cs="Calibri"/>
        </w:rPr>
        <w:t xml:space="preserve">Application under </w:t>
      </w:r>
      <w:r w:rsidRPr="006C496E">
        <w:rPr>
          <w:rFonts w:cs="Calibri"/>
        </w:rPr>
        <w:t>art. 3.2 (g).</w:t>
      </w:r>
    </w:p>
  </w:footnote>
  <w:footnote w:id="29">
    <w:p w14:paraId="2AA2936D" w14:textId="6E9DC7B9"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TCPS2, </w:t>
      </w:r>
      <w:r w:rsidR="00EE6C21" w:rsidRPr="006C496E">
        <w:rPr>
          <w:rFonts w:cs="Calibri"/>
        </w:rPr>
        <w:t xml:space="preserve">Application under </w:t>
      </w:r>
      <w:r w:rsidRPr="006C496E">
        <w:rPr>
          <w:rFonts w:cs="Calibri"/>
        </w:rPr>
        <w:t>art. 3.2 (h)</w:t>
      </w:r>
      <w:r w:rsidR="00EE6C21" w:rsidRPr="006C496E">
        <w:rPr>
          <w:rFonts w:cs="Calibri"/>
        </w:rPr>
        <w:t xml:space="preserve">; </w:t>
      </w:r>
      <w:r w:rsidR="00EE6C21" w:rsidRPr="006C496E">
        <w:t>IHC GCP, art. 4.8.10 (</w:t>
      </w:r>
      <w:r w:rsidR="00BE4A68" w:rsidRPr="006C496E">
        <w:t>q</w:t>
      </w:r>
      <w:r w:rsidR="00EE6C21" w:rsidRPr="006C496E">
        <w:t xml:space="preserve">); TDR, </w:t>
      </w:r>
      <w:r w:rsidR="00EC50E6" w:rsidRPr="006C496E">
        <w:t>s</w:t>
      </w:r>
      <w:r w:rsidR="00EE6C21" w:rsidRPr="006C496E">
        <w:t>. 6.2.4</w:t>
      </w:r>
      <w:r w:rsidRPr="006C496E">
        <w:rPr>
          <w:rFonts w:cs="Calibri"/>
        </w:rPr>
        <w:t>.</w:t>
      </w:r>
    </w:p>
  </w:footnote>
  <w:footnote w:id="30">
    <w:p w14:paraId="39FE7DDC" w14:textId="60E37866" w:rsidR="00B7128D" w:rsidRPr="006C496E" w:rsidRDefault="00B7128D" w:rsidP="00665846">
      <w:pPr>
        <w:pStyle w:val="Notedebasdepage"/>
        <w:jc w:val="left"/>
        <w:rPr>
          <w:rFonts w:cs="Calibri"/>
        </w:rPr>
      </w:pPr>
      <w:r w:rsidRPr="006C496E">
        <w:rPr>
          <w:rStyle w:val="Appelnotedebasdep"/>
          <w:rFonts w:cs="Calibri"/>
        </w:rPr>
        <w:footnoteRef/>
      </w:r>
      <w:r w:rsidRPr="006C496E">
        <w:rPr>
          <w:rFonts w:cs="Calibri"/>
        </w:rPr>
        <w:t xml:space="preserve"> </w:t>
      </w:r>
      <w:r w:rsidRPr="006C496E">
        <w:rPr>
          <w:rFonts w:cs="Calibri"/>
        </w:rPr>
        <w:tab/>
      </w:r>
      <w:r w:rsidRPr="006C496E">
        <w:t xml:space="preserve">Act Respecting Health Services and Social Services, CQLR, </w:t>
      </w:r>
      <w:r w:rsidRPr="006C496E">
        <w:rPr>
          <w:rFonts w:cs="Calibri"/>
        </w:rPr>
        <w:t xml:space="preserve">c. S-4.2, </w:t>
      </w:r>
      <w:r w:rsidR="00BE4A68" w:rsidRPr="006C496E">
        <w:rPr>
          <w:rFonts w:cs="Calibri"/>
        </w:rPr>
        <w:t>s</w:t>
      </w:r>
      <w:r w:rsidRPr="006C496E">
        <w:rPr>
          <w:rFonts w:cs="Calibri"/>
        </w:rPr>
        <w:t>. 19</w:t>
      </w:r>
      <w:r w:rsidRPr="006C496E">
        <w:rPr>
          <w:rFonts w:cs="Calibri"/>
          <w:i/>
        </w:rPr>
        <w:t xml:space="preserve">; </w:t>
      </w:r>
      <w:r w:rsidRPr="006C496E">
        <w:t>Act Respecting Access to Documents Held by Public Bodies and the Protection of Personal Information, CQLR, c.</w:t>
      </w:r>
      <w:r w:rsidRPr="006C496E">
        <w:rPr>
          <w:rFonts w:cs="Calibri"/>
        </w:rPr>
        <w:t xml:space="preserve"> A -2.1, </w:t>
      </w:r>
      <w:r w:rsidR="00BE4A68" w:rsidRPr="006C496E">
        <w:rPr>
          <w:rFonts w:cs="Calibri"/>
        </w:rPr>
        <w:t>s</w:t>
      </w:r>
      <w:r w:rsidRPr="006C496E">
        <w:rPr>
          <w:rFonts w:cs="Calibri"/>
        </w:rPr>
        <w:t>. 53, 59</w:t>
      </w:r>
      <w:r w:rsidR="00BE4A68" w:rsidRPr="006C496E">
        <w:rPr>
          <w:rFonts w:cs="Calibri"/>
        </w:rPr>
        <w:t xml:space="preserve"> and</w:t>
      </w:r>
      <w:r w:rsidRPr="006C496E">
        <w:rPr>
          <w:rFonts w:cs="Calibri"/>
        </w:rPr>
        <w:t xml:space="preserve"> </w:t>
      </w:r>
      <w:proofErr w:type="gramStart"/>
      <w:r w:rsidRPr="006C496E">
        <w:rPr>
          <w:rFonts w:cs="Calibri"/>
        </w:rPr>
        <w:t>125;</w:t>
      </w:r>
      <w:proofErr w:type="gramEnd"/>
      <w:r w:rsidRPr="006C496E">
        <w:rPr>
          <w:rFonts w:cs="Calibri"/>
        </w:rPr>
        <w:t xml:space="preserve"> </w:t>
      </w:r>
    </w:p>
    <w:p w14:paraId="732F42C7" w14:textId="1818CB19" w:rsidR="00B7128D" w:rsidRPr="006C496E" w:rsidRDefault="00B7128D" w:rsidP="00665846">
      <w:pPr>
        <w:pStyle w:val="Notedebasdepage"/>
        <w:jc w:val="left"/>
      </w:pPr>
      <w:r w:rsidRPr="006C496E">
        <w:rPr>
          <w:rFonts w:cs="Calibri"/>
        </w:rPr>
        <w:tab/>
        <w:t>CCQ, art. 35 and 37; TDR, s. 6.2.4, etc.</w:t>
      </w:r>
    </w:p>
  </w:footnote>
  <w:footnote w:id="31">
    <w:p w14:paraId="6236E95A" w14:textId="3F1D4F61"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 xml:space="preserve">TCPS2, </w:t>
      </w:r>
      <w:r w:rsidR="00EC50E6" w:rsidRPr="006C496E">
        <w:rPr>
          <w:rFonts w:cs="Calibri"/>
        </w:rPr>
        <w:t xml:space="preserve">Application under </w:t>
      </w:r>
      <w:r w:rsidRPr="006C496E">
        <w:rPr>
          <w:rFonts w:cs="Calibri"/>
        </w:rPr>
        <w:t>art. 3.2 (</w:t>
      </w:r>
      <w:proofErr w:type="spellStart"/>
      <w:r w:rsidRPr="006C496E">
        <w:rPr>
          <w:rFonts w:cs="Calibri"/>
        </w:rPr>
        <w:t>i</w:t>
      </w:r>
      <w:proofErr w:type="spellEnd"/>
      <w:r w:rsidRPr="006C496E">
        <w:rPr>
          <w:rFonts w:cs="Calibri"/>
        </w:rPr>
        <w:t>)</w:t>
      </w:r>
      <w:r w:rsidR="00EC50E6" w:rsidRPr="006C496E">
        <w:rPr>
          <w:rFonts w:cs="Calibri"/>
        </w:rPr>
        <w:t>; TDR, s. 6.2.4</w:t>
      </w:r>
      <w:r w:rsidRPr="006C496E">
        <w:rPr>
          <w:rFonts w:cs="Calibri"/>
        </w:rPr>
        <w:t xml:space="preserve">. </w:t>
      </w:r>
    </w:p>
  </w:footnote>
  <w:footnote w:id="32">
    <w:p w14:paraId="3D572E69" w14:textId="7870F32D" w:rsidR="00EE6C21" w:rsidRPr="006C496E" w:rsidRDefault="00EE6C21">
      <w:pPr>
        <w:pStyle w:val="Notedebasdepage"/>
      </w:pPr>
      <w:r w:rsidRPr="006C496E">
        <w:rPr>
          <w:rStyle w:val="Appelnotedebasdep"/>
        </w:rPr>
        <w:footnoteRef/>
      </w:r>
      <w:r w:rsidRPr="006C496E">
        <w:t xml:space="preserve"> </w:t>
      </w:r>
      <w:r w:rsidR="00EC50E6" w:rsidRPr="006C496E">
        <w:tab/>
        <w:t>TCPS2, Application under art. 3.2</w:t>
      </w:r>
      <w:r w:rsidR="00BE4A68" w:rsidRPr="006C496E">
        <w:t xml:space="preserve"> </w:t>
      </w:r>
      <w:r w:rsidR="00EC50E6" w:rsidRPr="006C496E">
        <w:t>(</w:t>
      </w:r>
      <w:proofErr w:type="spellStart"/>
      <w:r w:rsidR="00EC50E6" w:rsidRPr="006C496E">
        <w:t>i</w:t>
      </w:r>
      <w:proofErr w:type="spellEnd"/>
      <w:r w:rsidR="00EC50E6" w:rsidRPr="006C496E">
        <w:t>), TDR, s. 6.2.3.19; IHC GCP, art. 3.18 and 4.8.10 (k).</w:t>
      </w:r>
    </w:p>
  </w:footnote>
  <w:footnote w:id="33">
    <w:p w14:paraId="6FA31F0C" w14:textId="3210818B"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rPr>
        <w:tab/>
        <w:t xml:space="preserve">TCPS2, </w:t>
      </w:r>
      <w:r w:rsidR="00EC50E6" w:rsidRPr="006C496E">
        <w:rPr>
          <w:rFonts w:cs="Calibri"/>
        </w:rPr>
        <w:t xml:space="preserve">Application under </w:t>
      </w:r>
      <w:r w:rsidRPr="006C496E">
        <w:rPr>
          <w:rFonts w:cs="Calibri"/>
        </w:rPr>
        <w:t xml:space="preserve">art. 3.2 (j); ICH GCP, </w:t>
      </w:r>
      <w:r w:rsidR="00EC50E6" w:rsidRPr="006C496E">
        <w:rPr>
          <w:rFonts w:cs="Calibri"/>
        </w:rPr>
        <w:t>art</w:t>
      </w:r>
      <w:r w:rsidRPr="006C496E">
        <w:rPr>
          <w:rFonts w:cs="Calibri"/>
        </w:rPr>
        <w:t>. 3.1.9</w:t>
      </w:r>
      <w:r w:rsidR="00EC50E6" w:rsidRPr="006C496E">
        <w:rPr>
          <w:rFonts w:cs="Calibri"/>
        </w:rPr>
        <w:t xml:space="preserve"> and 4.8.10 (j)</w:t>
      </w:r>
      <w:r w:rsidRPr="006C496E">
        <w:rPr>
          <w:rFonts w:cs="Calibri"/>
        </w:rPr>
        <w:t>.</w:t>
      </w:r>
    </w:p>
  </w:footnote>
  <w:footnote w:id="34">
    <w:p w14:paraId="5FEB0B24" w14:textId="5DA8A1F0"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ab/>
      </w:r>
      <w:r w:rsidRPr="006C496E">
        <w:rPr>
          <w:rFonts w:cs="Calibri"/>
        </w:rPr>
        <w:t xml:space="preserve">TCPS2, </w:t>
      </w:r>
      <w:r w:rsidR="00EC50E6" w:rsidRPr="006C496E">
        <w:rPr>
          <w:rFonts w:cs="Calibri"/>
        </w:rPr>
        <w:t xml:space="preserve">Application under </w:t>
      </w:r>
      <w:r w:rsidRPr="006C496E">
        <w:rPr>
          <w:rFonts w:cs="Calibri"/>
        </w:rPr>
        <w:t>art. 3.2 (l); TDR, s. 6.2.3.2</w:t>
      </w:r>
      <w:r w:rsidR="00EC50E6" w:rsidRPr="006C496E">
        <w:rPr>
          <w:rFonts w:cs="Calibri"/>
        </w:rPr>
        <w:t xml:space="preserve">; </w:t>
      </w:r>
      <w:r w:rsidR="00EC50E6" w:rsidRPr="006C496E">
        <w:t>IHC GCP, art. 4.8.10 (r)</w:t>
      </w:r>
      <w:r w:rsidRPr="006C496E">
        <w:rPr>
          <w:rFonts w:cs="Calibri"/>
        </w:rPr>
        <w:t>.</w:t>
      </w:r>
    </w:p>
  </w:footnote>
  <w:footnote w:id="35">
    <w:p w14:paraId="180F39C8" w14:textId="42F9CF1D" w:rsidR="00EC50E6" w:rsidRPr="006C496E" w:rsidRDefault="00EC50E6">
      <w:pPr>
        <w:pStyle w:val="Notedebasdepage"/>
      </w:pPr>
      <w:r w:rsidRPr="006C496E">
        <w:rPr>
          <w:rStyle w:val="Appelnotedebasdep"/>
        </w:rPr>
        <w:footnoteRef/>
      </w:r>
      <w:r w:rsidRPr="006C496E">
        <w:t xml:space="preserve"> </w:t>
      </w:r>
      <w:r w:rsidRPr="006C496E">
        <w:tab/>
        <w:t>IHC GCP, art. 4.8.9.</w:t>
      </w:r>
    </w:p>
  </w:footnote>
  <w:footnote w:id="36">
    <w:p w14:paraId="5717409D" w14:textId="0A2E4455"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rPr>
        <w:tab/>
      </w:r>
      <w:r w:rsidR="00EC50E6" w:rsidRPr="006C496E">
        <w:t xml:space="preserve"> IHC GCP, art. 4.8.2</w:t>
      </w:r>
      <w:r w:rsidRPr="006C496E">
        <w:rPr>
          <w:rFonts w:cs="Calibri"/>
        </w:rPr>
        <w:t>.</w:t>
      </w:r>
    </w:p>
  </w:footnote>
  <w:footnote w:id="37">
    <w:p w14:paraId="3216AD63" w14:textId="09715636"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rPr>
        <w:tab/>
        <w:t>TCPS2, art. 3.3</w:t>
      </w:r>
      <w:r w:rsidR="00EC50E6" w:rsidRPr="006C496E">
        <w:rPr>
          <w:rFonts w:cs="Calibri"/>
        </w:rPr>
        <w:t xml:space="preserve">; </w:t>
      </w:r>
      <w:r w:rsidR="00EC50E6" w:rsidRPr="006C496E">
        <w:t>IHC GCP, art. 4.8.11</w:t>
      </w:r>
      <w:r w:rsidRPr="006C496E">
        <w:rPr>
          <w:rFonts w:cs="Calibri"/>
        </w:rPr>
        <w:t>.</w:t>
      </w:r>
    </w:p>
  </w:footnote>
  <w:footnote w:id="38">
    <w:p w14:paraId="2B068D73" w14:textId="77777777"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rPr>
        <w:tab/>
      </w:r>
      <w:r w:rsidRPr="006C496E">
        <w:rPr>
          <w:rFonts w:ascii="Calibri" w:hAnsi="Calibri" w:cs="Calibri"/>
          <w:lang w:eastAsia="en-CA"/>
        </w:rPr>
        <w:t>Consent may be withdrawn at any time, even verbally</w:t>
      </w:r>
      <w:r w:rsidRPr="006C496E">
        <w:rPr>
          <w:rFonts w:cs="Calibri"/>
        </w:rPr>
        <w:t xml:space="preserve"> (CCQ, art. 24 para. 3).</w:t>
      </w:r>
    </w:p>
  </w:footnote>
  <w:footnote w:id="39">
    <w:p w14:paraId="356D507E" w14:textId="77777777"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CCQ, art. 24 para. 2.</w:t>
      </w:r>
    </w:p>
  </w:footnote>
  <w:footnote w:id="40">
    <w:p w14:paraId="3DB5B1D6" w14:textId="77777777"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TCPS2, art. 3.7A (a).</w:t>
      </w:r>
    </w:p>
  </w:footnote>
  <w:footnote w:id="41">
    <w:p w14:paraId="7E744431" w14:textId="77777777"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TCPS2, art. 3.7A (b).</w:t>
      </w:r>
    </w:p>
  </w:footnote>
  <w:footnote w:id="42">
    <w:p w14:paraId="4D6909C1" w14:textId="77777777"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TCPS2, art. 3.7A (c).</w:t>
      </w:r>
    </w:p>
  </w:footnote>
  <w:footnote w:id="43">
    <w:p w14:paraId="51A817FD" w14:textId="73131083" w:rsidR="00B7128D" w:rsidRPr="006C496E" w:rsidRDefault="00B7128D" w:rsidP="00665846">
      <w:pPr>
        <w:pStyle w:val="Notedebasdepage"/>
        <w:jc w:val="left"/>
      </w:pPr>
      <w:r w:rsidRPr="006C496E">
        <w:rPr>
          <w:rStyle w:val="Appelnotedebasdep"/>
          <w:rFonts w:cs="Calibri"/>
        </w:rPr>
        <w:footnoteRef/>
      </w:r>
      <w:r w:rsidRPr="006C496E">
        <w:rPr>
          <w:rFonts w:cs="Calibri"/>
        </w:rPr>
        <w:tab/>
        <w:t xml:space="preserve">The REB ensures respect for the legal framework for the protection of privacy and confidentiality of personal information: TDR, s. 6.2.4, etc.; </w:t>
      </w:r>
      <w:r w:rsidRPr="006C496E">
        <w:t xml:space="preserve">Act Respecting Health Services and Social Services, CQLR, c. </w:t>
      </w:r>
      <w:r w:rsidRPr="006C496E">
        <w:rPr>
          <w:rFonts w:cs="Calibri"/>
        </w:rPr>
        <w:t>S</w:t>
      </w:r>
      <w:r w:rsidRPr="006C496E">
        <w:rPr>
          <w:rFonts w:cs="Calibri"/>
        </w:rPr>
        <w:noBreakHyphen/>
        <w:t xml:space="preserve">4.2, </w:t>
      </w:r>
      <w:r w:rsidR="00BE4A68" w:rsidRPr="006C496E">
        <w:rPr>
          <w:rFonts w:cs="Calibri"/>
        </w:rPr>
        <w:t>s</w:t>
      </w:r>
      <w:r w:rsidRPr="006C496E">
        <w:rPr>
          <w:rFonts w:cs="Calibri"/>
        </w:rPr>
        <w:t xml:space="preserve">. 19 and 19.2; </w:t>
      </w:r>
      <w:r w:rsidRPr="006C496E">
        <w:t>Act Respecting Access to Documents Held by Public Bodies and the Protection of Personal Information, CQLR, c.</w:t>
      </w:r>
      <w:r w:rsidRPr="006C496E">
        <w:rPr>
          <w:rFonts w:cs="Calibri"/>
        </w:rPr>
        <w:t xml:space="preserve"> A -2.1, </w:t>
      </w:r>
      <w:r w:rsidR="00BE4A68" w:rsidRPr="006C496E">
        <w:rPr>
          <w:rFonts w:cs="Calibri"/>
        </w:rPr>
        <w:t>s</w:t>
      </w:r>
      <w:r w:rsidRPr="006C496E">
        <w:rPr>
          <w:rFonts w:cs="Calibri"/>
        </w:rPr>
        <w:t>. 53, 59</w:t>
      </w:r>
      <w:r w:rsidR="00BE4A68" w:rsidRPr="006C496E">
        <w:rPr>
          <w:rFonts w:cs="Calibri"/>
        </w:rPr>
        <w:t xml:space="preserve"> and</w:t>
      </w:r>
      <w:r w:rsidRPr="006C496E">
        <w:rPr>
          <w:rFonts w:cs="Calibri"/>
        </w:rPr>
        <w:t xml:space="preserve"> 125; CCQ, art. 35 and 37; </w:t>
      </w:r>
      <w:r w:rsidRPr="006C496E">
        <w:rPr>
          <w:rFonts w:cs="Calibri"/>
          <w:bCs/>
          <w:lang w:eastAsia="en-CA"/>
        </w:rPr>
        <w:t>Québec Charter of Human Rights and Freedoms</w:t>
      </w:r>
      <w:r w:rsidRPr="006C496E">
        <w:rPr>
          <w:rFonts w:cs="Calibri"/>
          <w:b/>
          <w:bCs/>
          <w:lang w:eastAsia="en-CA"/>
        </w:rPr>
        <w:t>,</w:t>
      </w:r>
      <w:r w:rsidRPr="006C496E">
        <w:rPr>
          <w:rFonts w:cs="Calibri"/>
          <w:lang w:eastAsia="en-CA"/>
        </w:rPr>
        <w:t xml:space="preserve"> </w:t>
      </w:r>
      <w:r w:rsidRPr="006C496E">
        <w:rPr>
          <w:rFonts w:cs="Calibri"/>
        </w:rPr>
        <w:t xml:space="preserve">c. C -12, </w:t>
      </w:r>
      <w:r w:rsidR="00BE4A68" w:rsidRPr="006C496E">
        <w:rPr>
          <w:rFonts w:cs="Calibri"/>
        </w:rPr>
        <w:t>s</w:t>
      </w:r>
      <w:r w:rsidRPr="006C496E">
        <w:rPr>
          <w:rFonts w:cs="Calibri"/>
        </w:rPr>
        <w:t>. 5.</w:t>
      </w:r>
    </w:p>
  </w:footnote>
  <w:footnote w:id="44">
    <w:p w14:paraId="143D1960" w14:textId="6C37AD2F" w:rsidR="00EC50E6" w:rsidRPr="006C496E" w:rsidRDefault="00EC50E6">
      <w:pPr>
        <w:pStyle w:val="Notedebasdepage"/>
      </w:pPr>
      <w:r w:rsidRPr="006C496E">
        <w:rPr>
          <w:rStyle w:val="Appelnotedebasdep"/>
        </w:rPr>
        <w:footnoteRef/>
      </w:r>
      <w:r w:rsidRPr="006C496E">
        <w:t xml:space="preserve"> </w:t>
      </w:r>
      <w:r w:rsidRPr="006C496E">
        <w:tab/>
        <w:t xml:space="preserve">TCPS2, </w:t>
      </w:r>
      <w:r w:rsidR="00BE4A68" w:rsidRPr="006C496E">
        <w:t>art</w:t>
      </w:r>
      <w:r w:rsidRPr="006C496E">
        <w:t>. 3.7</w:t>
      </w:r>
      <w:r w:rsidR="00BE4A68" w:rsidRPr="006C496E">
        <w:t>A</w:t>
      </w:r>
      <w:r w:rsidRPr="006C496E">
        <w:t xml:space="preserve"> </w:t>
      </w:r>
      <w:r w:rsidR="00BE4A68" w:rsidRPr="006C496E">
        <w:t>(e)</w:t>
      </w:r>
      <w:r w:rsidRPr="006C496E">
        <w:t xml:space="preserve"> </w:t>
      </w:r>
      <w:r w:rsidR="00BE4A68" w:rsidRPr="006C496E">
        <w:t>and</w:t>
      </w:r>
      <w:r w:rsidRPr="006C496E">
        <w:t xml:space="preserve"> 3.7</w:t>
      </w:r>
      <w:r w:rsidR="00BE4A68" w:rsidRPr="006C496E">
        <w:t>B.</w:t>
      </w:r>
    </w:p>
  </w:footnote>
  <w:footnote w:id="45">
    <w:p w14:paraId="66C3436D" w14:textId="2ACD88E6"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TCPS2, art. 3.9</w:t>
      </w:r>
      <w:r w:rsidR="00EC50E6" w:rsidRPr="006C496E">
        <w:rPr>
          <w:rFonts w:cs="Calibri"/>
        </w:rPr>
        <w:t xml:space="preserve"> (</w:t>
      </w:r>
      <w:r w:rsidR="00BE4A68" w:rsidRPr="006C496E">
        <w:rPr>
          <w:rFonts w:cs="Calibri"/>
        </w:rPr>
        <w:t>a</w:t>
      </w:r>
      <w:r w:rsidR="00EC50E6" w:rsidRPr="006C496E">
        <w:rPr>
          <w:rFonts w:cs="Calibri"/>
        </w:rPr>
        <w:t>)</w:t>
      </w:r>
      <w:r w:rsidRPr="006C496E">
        <w:rPr>
          <w:rFonts w:cs="Calibri"/>
        </w:rPr>
        <w:t>.</w:t>
      </w:r>
    </w:p>
  </w:footnote>
  <w:footnote w:id="46">
    <w:p w14:paraId="6BFE95A5" w14:textId="57ABB590" w:rsidR="00B7128D" w:rsidRPr="006C496E" w:rsidRDefault="00B7128D" w:rsidP="00665846">
      <w:pPr>
        <w:pStyle w:val="Notedebasdepage"/>
        <w:jc w:val="left"/>
      </w:pPr>
      <w:r w:rsidRPr="006C496E">
        <w:rPr>
          <w:rStyle w:val="Appelnotedebasdep"/>
          <w:rFonts w:cs="Calibri"/>
        </w:rPr>
        <w:footnoteRef/>
      </w:r>
      <w:r w:rsidRPr="006C496E">
        <w:rPr>
          <w:rFonts w:cs="Calibri"/>
        </w:rPr>
        <w:t xml:space="preserve"> </w:t>
      </w:r>
      <w:r w:rsidRPr="006C496E">
        <w:rPr>
          <w:rFonts w:cs="Calibri"/>
        </w:rPr>
        <w:tab/>
        <w:t>CCQ, art. 21 par. 3.</w:t>
      </w:r>
    </w:p>
  </w:footnote>
  <w:footnote w:id="47">
    <w:p w14:paraId="424FD652" w14:textId="3387BB58" w:rsidR="00EC50E6" w:rsidRPr="006C496E" w:rsidRDefault="00EC50E6">
      <w:pPr>
        <w:pStyle w:val="Notedebasdepage"/>
      </w:pPr>
      <w:r w:rsidRPr="006C496E">
        <w:rPr>
          <w:rStyle w:val="Appelnotedebasdep"/>
        </w:rPr>
        <w:footnoteRef/>
      </w:r>
      <w:r w:rsidRPr="006C496E">
        <w:t xml:space="preserve"> </w:t>
      </w:r>
      <w:r w:rsidRPr="006C496E">
        <w:tab/>
      </w:r>
      <w:r w:rsidRPr="006C496E">
        <w:rPr>
          <w:rFonts w:cs="Calibri"/>
        </w:rPr>
        <w:t>CCQ, art. 21 par. 5.</w:t>
      </w:r>
    </w:p>
  </w:footnote>
  <w:footnote w:id="48">
    <w:p w14:paraId="5C55EB0D" w14:textId="054F92F8" w:rsidR="00EC50E6" w:rsidRPr="006C496E" w:rsidRDefault="00EC50E6">
      <w:pPr>
        <w:pStyle w:val="Notedebasdepage"/>
      </w:pPr>
      <w:r w:rsidRPr="006C496E">
        <w:rPr>
          <w:rStyle w:val="Appelnotedebasdep"/>
        </w:rPr>
        <w:footnoteRef/>
      </w:r>
      <w:r w:rsidRPr="006C496E">
        <w:t xml:space="preserve"> </w:t>
      </w:r>
      <w:r w:rsidR="005378AC" w:rsidRPr="006C496E">
        <w:tab/>
        <w:t>CCQ, art. 21 par</w:t>
      </w:r>
      <w:r w:rsidR="00BE4A68" w:rsidRPr="006C496E">
        <w:t>.</w:t>
      </w:r>
      <w:r w:rsidR="005378AC" w:rsidRPr="006C496E">
        <w:t xml:space="preserve"> 6. </w:t>
      </w:r>
      <w:r w:rsidR="00406EB0" w:rsidRPr="006C496E">
        <w:t>Maintaining consent on an ongoing basis</w:t>
      </w:r>
      <w:r w:rsidR="005378AC" w:rsidRPr="006C496E">
        <w:t>, see TCPS2, art. 3.3 and 3.9 (b).</w:t>
      </w:r>
    </w:p>
  </w:footnote>
  <w:footnote w:id="49">
    <w:p w14:paraId="7952C2B0" w14:textId="77777777"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vertAlign w:val="superscript"/>
        </w:rPr>
        <w:tab/>
      </w:r>
      <w:r w:rsidRPr="006C496E">
        <w:rPr>
          <w:rFonts w:cs="Calibri"/>
        </w:rPr>
        <w:t>TCPS2, art. 3.9 (c).</w:t>
      </w:r>
    </w:p>
  </w:footnote>
  <w:footnote w:id="50">
    <w:p w14:paraId="7703D4D1" w14:textId="1D0F8863"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 xml:space="preserve"> </w:t>
      </w:r>
      <w:r w:rsidRPr="006C496E">
        <w:rPr>
          <w:rFonts w:cs="Calibri"/>
          <w:vertAlign w:val="superscript"/>
        </w:rPr>
        <w:tab/>
      </w:r>
      <w:r w:rsidRPr="006C496E">
        <w:rPr>
          <w:rFonts w:cs="Calibri"/>
        </w:rPr>
        <w:t>TCPS2, art. 3.9 (d)</w:t>
      </w:r>
      <w:r w:rsidR="00BE4A68" w:rsidRPr="006C496E">
        <w:rPr>
          <w:rFonts w:cs="Calibri"/>
        </w:rPr>
        <w:t>;</w:t>
      </w:r>
      <w:r w:rsidRPr="006C496E">
        <w:rPr>
          <w:rFonts w:cs="Calibri"/>
        </w:rPr>
        <w:t xml:space="preserve"> </w:t>
      </w:r>
      <w:r w:rsidR="00406EB0" w:rsidRPr="006C496E">
        <w:rPr>
          <w:rFonts w:cs="Calibri"/>
        </w:rPr>
        <w:t xml:space="preserve">ICH GCP, art. 4.8.14; </w:t>
      </w:r>
      <w:r w:rsidRPr="006C496E">
        <w:rPr>
          <w:rFonts w:cs="Calibri"/>
        </w:rPr>
        <w:t>CCQ, art. 21 para. 2.</w:t>
      </w:r>
    </w:p>
  </w:footnote>
  <w:footnote w:id="51">
    <w:p w14:paraId="690851EE" w14:textId="3F690940" w:rsidR="00B7128D" w:rsidRPr="006C496E" w:rsidRDefault="00B7128D" w:rsidP="00665846">
      <w:pPr>
        <w:pStyle w:val="Notedebasdepage"/>
        <w:jc w:val="left"/>
      </w:pPr>
      <w:r w:rsidRPr="006C496E">
        <w:rPr>
          <w:rStyle w:val="Appelnotedebasdep"/>
          <w:rFonts w:cs="Calibri"/>
        </w:rPr>
        <w:footnoteRef/>
      </w:r>
      <w:r w:rsidRPr="006C496E">
        <w:rPr>
          <w:rFonts w:cs="Calibri"/>
        </w:rPr>
        <w:tab/>
        <w:t>CCQ, art. 21 </w:t>
      </w:r>
      <w:r w:rsidR="00196344" w:rsidRPr="006C496E">
        <w:rPr>
          <w:rFonts w:cs="Calibri"/>
        </w:rPr>
        <w:t>(</w:t>
      </w:r>
      <w:r w:rsidRPr="006C496E">
        <w:rPr>
          <w:rFonts w:cs="Calibri"/>
        </w:rPr>
        <w:t>1</w:t>
      </w:r>
      <w:r w:rsidR="00196344" w:rsidRPr="006C496E">
        <w:rPr>
          <w:rFonts w:cs="Calibri"/>
        </w:rPr>
        <w:t>)</w:t>
      </w:r>
      <w:r w:rsidRPr="006C496E">
        <w:rPr>
          <w:rFonts w:cs="Calibri"/>
        </w:rPr>
        <w:t>.</w:t>
      </w:r>
    </w:p>
  </w:footnote>
  <w:footnote w:id="52">
    <w:p w14:paraId="7F3C08F9" w14:textId="77777777" w:rsidR="00B7128D" w:rsidRPr="006C496E" w:rsidRDefault="00B7128D" w:rsidP="00665846">
      <w:pPr>
        <w:pStyle w:val="Notedebasdepage"/>
        <w:jc w:val="left"/>
      </w:pPr>
      <w:r w:rsidRPr="006C496E">
        <w:rPr>
          <w:rStyle w:val="Appelnotedebasdep"/>
          <w:rFonts w:cs="Calibri"/>
        </w:rPr>
        <w:footnoteRef/>
      </w:r>
      <w:r w:rsidRPr="006C496E">
        <w:rPr>
          <w:rFonts w:cs="Calibri"/>
          <w:vertAlign w:val="superscript"/>
        </w:rPr>
        <w:tab/>
      </w:r>
      <w:r w:rsidRPr="006C496E">
        <w:rPr>
          <w:rFonts w:cs="Calibri"/>
        </w:rPr>
        <w:t>TCPS2, art. 3.9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43BF" w14:textId="77777777" w:rsidR="00B7128D" w:rsidRDefault="00B7128D" w:rsidP="0030269A">
    <w:pPr>
      <w:pStyle w:val="En-tte"/>
    </w:pPr>
  </w:p>
  <w:tbl>
    <w:tblPr>
      <w:tblW w:w="0" w:type="auto"/>
      <w:tblLook w:val="04A0" w:firstRow="1" w:lastRow="0" w:firstColumn="1" w:lastColumn="0" w:noHBand="0" w:noVBand="1"/>
    </w:tblPr>
    <w:tblGrid>
      <w:gridCol w:w="4957"/>
      <w:gridCol w:w="5113"/>
    </w:tblGrid>
    <w:tr w:rsidR="00B7128D" w:rsidRPr="005A11F5" w14:paraId="4A0FF88D" w14:textId="77777777" w:rsidTr="58B8826E">
      <w:trPr>
        <w:trHeight w:val="567"/>
      </w:trPr>
      <w:tc>
        <w:tcPr>
          <w:tcW w:w="4957" w:type="dxa"/>
          <w:vMerge w:val="restart"/>
          <w:tcBorders>
            <w:right w:val="single" w:sz="4" w:space="0" w:color="auto"/>
          </w:tcBorders>
          <w:shd w:val="clear" w:color="auto" w:fill="auto"/>
          <w:vAlign w:val="center"/>
        </w:tcPr>
        <w:p w14:paraId="7779BD0B" w14:textId="7BCA0256" w:rsidR="00B7128D" w:rsidRPr="00406030" w:rsidRDefault="00B7128D"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45633DA" w14:textId="5F4E9508" w:rsidR="00B7128D" w:rsidRPr="00D0004E" w:rsidRDefault="00B7128D" w:rsidP="58B8826E">
          <w:pPr>
            <w:spacing w:before="0" w:after="0"/>
            <w:jc w:val="right"/>
            <w:rPr>
              <w:sz w:val="32"/>
              <w:szCs w:val="32"/>
              <w:lang w:val="en-US"/>
            </w:rPr>
          </w:pPr>
          <w:r w:rsidRPr="58B8826E">
            <w:rPr>
              <w:sz w:val="32"/>
              <w:szCs w:val="32"/>
              <w:lang w:val="en-US"/>
            </w:rPr>
            <w:t>REB-</w:t>
          </w:r>
          <w:r>
            <w:rPr>
              <w:sz w:val="32"/>
              <w:szCs w:val="32"/>
              <w:lang w:val="en-US"/>
            </w:rPr>
            <w:t xml:space="preserve">SOP </w:t>
          </w:r>
          <w:r w:rsidR="002146DF">
            <w:rPr>
              <w:sz w:val="32"/>
              <w:szCs w:val="32"/>
              <w:lang w:val="en-US"/>
            </w:rPr>
            <w:t>701-002</w:t>
          </w:r>
        </w:p>
      </w:tc>
    </w:tr>
    <w:tr w:rsidR="00B7128D" w:rsidRPr="005A11F5" w14:paraId="2E8B051C" w14:textId="77777777" w:rsidTr="58B8826E">
      <w:trPr>
        <w:trHeight w:val="567"/>
      </w:trPr>
      <w:tc>
        <w:tcPr>
          <w:tcW w:w="4957" w:type="dxa"/>
          <w:vMerge/>
        </w:tcPr>
        <w:p w14:paraId="61BF2890" w14:textId="77777777" w:rsidR="00B7128D" w:rsidRPr="002F7EC5" w:rsidRDefault="00B7128D"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7D84195D" w14:textId="77777777" w:rsidR="00B7128D" w:rsidRPr="002F7EC5" w:rsidRDefault="00B7128D" w:rsidP="0030269A">
          <w:pPr>
            <w:spacing w:before="0" w:after="0"/>
            <w:jc w:val="right"/>
            <w:rPr>
              <w:lang w:val="en-US"/>
            </w:rPr>
          </w:pPr>
          <w:r w:rsidRPr="002F7EC5">
            <w:rPr>
              <w:lang w:val="en-US"/>
            </w:rPr>
            <w:t>Research Ethics Board</w:t>
          </w:r>
        </w:p>
        <w:p w14:paraId="4FCE0B0E" w14:textId="77777777" w:rsidR="00B7128D" w:rsidRPr="002F7EC5" w:rsidRDefault="00B7128D" w:rsidP="0030269A">
          <w:pPr>
            <w:spacing w:before="0" w:after="0"/>
            <w:jc w:val="right"/>
            <w:rPr>
              <w:lang w:val="en-US"/>
            </w:rPr>
          </w:pPr>
          <w:r w:rsidRPr="002F7EC5">
            <w:rPr>
              <w:lang w:val="en-US"/>
            </w:rPr>
            <w:t>Standard Operating Procedure</w:t>
          </w:r>
        </w:p>
      </w:tc>
    </w:tr>
  </w:tbl>
  <w:p w14:paraId="264FC1AA" w14:textId="77777777" w:rsidR="00B7128D" w:rsidRPr="002F7EC5" w:rsidRDefault="00B7128D" w:rsidP="0030269A">
    <w:pPr>
      <w:pStyle w:val="En-tte"/>
      <w:rPr>
        <w:lang w:val="en-US"/>
      </w:rPr>
    </w:pPr>
  </w:p>
  <w:p w14:paraId="5CC55CF7" w14:textId="77777777" w:rsidR="00B7128D" w:rsidRPr="0030269A" w:rsidRDefault="00B7128D"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5"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215F017D"/>
    <w:multiLevelType w:val="hybridMultilevel"/>
    <w:tmpl w:val="712C3C8E"/>
    <w:lvl w:ilvl="0" w:tplc="3B6E3D14">
      <w:start w:val="1"/>
      <w:numFmt w:val="lowerLetter"/>
      <w:lvlText w:val="%1)"/>
      <w:lvlJc w:val="left"/>
      <w:pPr>
        <w:ind w:left="1494" w:hanging="360"/>
      </w:pPr>
      <w:rPr>
        <w:rFonts w:hint="default"/>
      </w:rPr>
    </w:lvl>
    <w:lvl w:ilvl="1" w:tplc="0C0C0019" w:tentative="1">
      <w:start w:val="1"/>
      <w:numFmt w:val="lowerLetter"/>
      <w:lvlText w:val="%2."/>
      <w:lvlJc w:val="left"/>
      <w:pPr>
        <w:ind w:left="2214" w:hanging="360"/>
      </w:pPr>
    </w:lvl>
    <w:lvl w:ilvl="2" w:tplc="0C0C001B" w:tentative="1">
      <w:start w:val="1"/>
      <w:numFmt w:val="lowerRoman"/>
      <w:lvlText w:val="%3."/>
      <w:lvlJc w:val="right"/>
      <w:pPr>
        <w:ind w:left="2934" w:hanging="180"/>
      </w:pPr>
    </w:lvl>
    <w:lvl w:ilvl="3" w:tplc="0C0C000F" w:tentative="1">
      <w:start w:val="1"/>
      <w:numFmt w:val="decimal"/>
      <w:lvlText w:val="%4."/>
      <w:lvlJc w:val="left"/>
      <w:pPr>
        <w:ind w:left="3654" w:hanging="360"/>
      </w:pPr>
    </w:lvl>
    <w:lvl w:ilvl="4" w:tplc="0C0C0019" w:tentative="1">
      <w:start w:val="1"/>
      <w:numFmt w:val="lowerLetter"/>
      <w:lvlText w:val="%5."/>
      <w:lvlJc w:val="left"/>
      <w:pPr>
        <w:ind w:left="4374" w:hanging="360"/>
      </w:pPr>
    </w:lvl>
    <w:lvl w:ilvl="5" w:tplc="0C0C001B" w:tentative="1">
      <w:start w:val="1"/>
      <w:numFmt w:val="lowerRoman"/>
      <w:lvlText w:val="%6."/>
      <w:lvlJc w:val="right"/>
      <w:pPr>
        <w:ind w:left="5094" w:hanging="180"/>
      </w:pPr>
    </w:lvl>
    <w:lvl w:ilvl="6" w:tplc="0C0C000F" w:tentative="1">
      <w:start w:val="1"/>
      <w:numFmt w:val="decimal"/>
      <w:lvlText w:val="%7."/>
      <w:lvlJc w:val="left"/>
      <w:pPr>
        <w:ind w:left="5814" w:hanging="360"/>
      </w:pPr>
    </w:lvl>
    <w:lvl w:ilvl="7" w:tplc="0C0C0019" w:tentative="1">
      <w:start w:val="1"/>
      <w:numFmt w:val="lowerLetter"/>
      <w:lvlText w:val="%8."/>
      <w:lvlJc w:val="left"/>
      <w:pPr>
        <w:ind w:left="6534" w:hanging="360"/>
      </w:pPr>
    </w:lvl>
    <w:lvl w:ilvl="8" w:tplc="0C0C001B" w:tentative="1">
      <w:start w:val="1"/>
      <w:numFmt w:val="lowerRoman"/>
      <w:lvlText w:val="%9."/>
      <w:lvlJc w:val="right"/>
      <w:pPr>
        <w:ind w:left="7254" w:hanging="180"/>
      </w:pPr>
    </w:lvl>
  </w:abstractNum>
  <w:abstractNum w:abstractNumId="10"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3715A1"/>
    <w:multiLevelType w:val="multilevel"/>
    <w:tmpl w:val="040C001D"/>
    <w:numStyleLink w:val="SOPListeHyrarchise"/>
  </w:abstractNum>
  <w:abstractNum w:abstractNumId="13"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799672">
    <w:abstractNumId w:val="8"/>
  </w:num>
  <w:num w:numId="2" w16cid:durableId="311645639">
    <w:abstractNumId w:val="0"/>
  </w:num>
  <w:num w:numId="3" w16cid:durableId="1400639693">
    <w:abstractNumId w:val="1"/>
  </w:num>
  <w:num w:numId="4" w16cid:durableId="1577593836">
    <w:abstractNumId w:val="2"/>
  </w:num>
  <w:num w:numId="5" w16cid:durableId="1207253385">
    <w:abstractNumId w:val="3"/>
  </w:num>
  <w:num w:numId="6" w16cid:durableId="773095421">
    <w:abstractNumId w:val="4"/>
  </w:num>
  <w:num w:numId="7" w16cid:durableId="119500311">
    <w:abstractNumId w:val="11"/>
  </w:num>
  <w:num w:numId="8" w16cid:durableId="1389838651">
    <w:abstractNumId w:val="10"/>
  </w:num>
  <w:num w:numId="9" w16cid:durableId="1192761020">
    <w:abstractNumId w:val="6"/>
  </w:num>
  <w:num w:numId="10" w16cid:durableId="1295405917">
    <w:abstractNumId w:val="5"/>
  </w:num>
  <w:num w:numId="11" w16cid:durableId="2032145621">
    <w:abstractNumId w:val="13"/>
  </w:num>
  <w:num w:numId="12" w16cid:durableId="120465710">
    <w:abstractNumId w:val="7"/>
  </w:num>
  <w:num w:numId="13" w16cid:durableId="19746190">
    <w:abstractNumId w:val="12"/>
  </w:num>
  <w:num w:numId="14" w16cid:durableId="198006697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46"/>
    <w:rsid w:val="00000F92"/>
    <w:rsid w:val="00004978"/>
    <w:rsid w:val="000065FB"/>
    <w:rsid w:val="00012A3D"/>
    <w:rsid w:val="0002610A"/>
    <w:rsid w:val="0003383F"/>
    <w:rsid w:val="00061ED6"/>
    <w:rsid w:val="000731F7"/>
    <w:rsid w:val="0015459F"/>
    <w:rsid w:val="00196344"/>
    <w:rsid w:val="001C44AB"/>
    <w:rsid w:val="002146DF"/>
    <w:rsid w:val="00224415"/>
    <w:rsid w:val="00226DCF"/>
    <w:rsid w:val="00232E2F"/>
    <w:rsid w:val="00255AA9"/>
    <w:rsid w:val="00283978"/>
    <w:rsid w:val="0028581A"/>
    <w:rsid w:val="002A2529"/>
    <w:rsid w:val="002B5BA5"/>
    <w:rsid w:val="002B5EA6"/>
    <w:rsid w:val="002C1840"/>
    <w:rsid w:val="002E18ED"/>
    <w:rsid w:val="002E750D"/>
    <w:rsid w:val="0030269A"/>
    <w:rsid w:val="00302BF0"/>
    <w:rsid w:val="0032222C"/>
    <w:rsid w:val="00357454"/>
    <w:rsid w:val="00381E3D"/>
    <w:rsid w:val="00386EA4"/>
    <w:rsid w:val="003B3B17"/>
    <w:rsid w:val="00406EB0"/>
    <w:rsid w:val="00407B78"/>
    <w:rsid w:val="004374F7"/>
    <w:rsid w:val="00444D39"/>
    <w:rsid w:val="00457BA4"/>
    <w:rsid w:val="004F77B0"/>
    <w:rsid w:val="005329E9"/>
    <w:rsid w:val="005378AC"/>
    <w:rsid w:val="00542A47"/>
    <w:rsid w:val="005474A8"/>
    <w:rsid w:val="00552B3D"/>
    <w:rsid w:val="00567B4B"/>
    <w:rsid w:val="00580BBE"/>
    <w:rsid w:val="0059613B"/>
    <w:rsid w:val="005A11F5"/>
    <w:rsid w:val="005B2B88"/>
    <w:rsid w:val="005B3845"/>
    <w:rsid w:val="005B713C"/>
    <w:rsid w:val="005C470B"/>
    <w:rsid w:val="00601C6C"/>
    <w:rsid w:val="00602F3C"/>
    <w:rsid w:val="0062631F"/>
    <w:rsid w:val="00660163"/>
    <w:rsid w:val="00665846"/>
    <w:rsid w:val="006679F4"/>
    <w:rsid w:val="006859A1"/>
    <w:rsid w:val="006A4376"/>
    <w:rsid w:val="006C496E"/>
    <w:rsid w:val="00712011"/>
    <w:rsid w:val="007351AD"/>
    <w:rsid w:val="00753239"/>
    <w:rsid w:val="00756C58"/>
    <w:rsid w:val="00760258"/>
    <w:rsid w:val="00802F4C"/>
    <w:rsid w:val="008347F6"/>
    <w:rsid w:val="00851935"/>
    <w:rsid w:val="00853B7E"/>
    <w:rsid w:val="00861AE8"/>
    <w:rsid w:val="008729A6"/>
    <w:rsid w:val="008A587F"/>
    <w:rsid w:val="008B1AC3"/>
    <w:rsid w:val="008E5297"/>
    <w:rsid w:val="008F0DA0"/>
    <w:rsid w:val="008F4B93"/>
    <w:rsid w:val="0092174E"/>
    <w:rsid w:val="0095487F"/>
    <w:rsid w:val="009754E0"/>
    <w:rsid w:val="00986A54"/>
    <w:rsid w:val="009975D0"/>
    <w:rsid w:val="00A269DC"/>
    <w:rsid w:val="00A26CA7"/>
    <w:rsid w:val="00A313CE"/>
    <w:rsid w:val="00A967C9"/>
    <w:rsid w:val="00AA7367"/>
    <w:rsid w:val="00AB4EE7"/>
    <w:rsid w:val="00B43B4B"/>
    <w:rsid w:val="00B66BD6"/>
    <w:rsid w:val="00B66EA8"/>
    <w:rsid w:val="00B70001"/>
    <w:rsid w:val="00B7128D"/>
    <w:rsid w:val="00BA31E3"/>
    <w:rsid w:val="00BA727C"/>
    <w:rsid w:val="00BE4A68"/>
    <w:rsid w:val="00C66A3D"/>
    <w:rsid w:val="00CE63B7"/>
    <w:rsid w:val="00D14E15"/>
    <w:rsid w:val="00DC2BA3"/>
    <w:rsid w:val="00DE194A"/>
    <w:rsid w:val="00E01654"/>
    <w:rsid w:val="00E215BA"/>
    <w:rsid w:val="00E428CC"/>
    <w:rsid w:val="00E83DF3"/>
    <w:rsid w:val="00EC101E"/>
    <w:rsid w:val="00EC34C7"/>
    <w:rsid w:val="00EC50E6"/>
    <w:rsid w:val="00EC6FBF"/>
    <w:rsid w:val="00EE3B62"/>
    <w:rsid w:val="00EE6C21"/>
    <w:rsid w:val="00F32160"/>
    <w:rsid w:val="00F423F8"/>
    <w:rsid w:val="00F443B2"/>
    <w:rsid w:val="00FB6745"/>
    <w:rsid w:val="00FC636C"/>
    <w:rsid w:val="00FD413A"/>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3F63E"/>
  <w14:defaultImageDpi w14:val="32767"/>
  <w15:chartTrackingRefBased/>
  <w15:docId w15:val="{70A9023D-3A37-460F-8E6E-296DBC26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A2529"/>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tabs>
        <w:tab w:val="left" w:pos="1134"/>
      </w:tabs>
      <w:ind w:left="1134" w:hanging="1134"/>
      <w:outlineLvl w:val="1"/>
    </w:pPr>
    <w:rPr>
      <w:rFonts w:eastAsiaTheme="majorEastAsia" w:cstheme="minorHAnsi"/>
      <w:b/>
    </w:rPr>
  </w:style>
  <w:style w:type="paragraph" w:styleId="Titre3">
    <w:name w:val="heading 3"/>
    <w:basedOn w:val="Normal"/>
    <w:next w:val="Normal"/>
    <w:link w:val="Titre3Car"/>
    <w:uiPriority w:val="9"/>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29A6"/>
    <w:rPr>
      <w:rFonts w:eastAsiaTheme="majorEastAsia" w:cs="Calibri (Corps)"/>
      <w:b/>
      <w:caps/>
      <w:sz w:val="22"/>
      <w:szCs w:val="22"/>
      <w:lang w:val="en-CA"/>
    </w:rPr>
  </w:style>
  <w:style w:type="character" w:customStyle="1" w:styleId="Titre2Car">
    <w:name w:val="Titre 2 Car"/>
    <w:basedOn w:val="Policepardfaut"/>
    <w:link w:val="Titre2"/>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en-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en-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92174E"/>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30269A"/>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6"/>
      </w:numPr>
      <w:contextualSpacing/>
    </w:pPr>
  </w:style>
  <w:style w:type="paragraph" w:styleId="Paragraphedeliste">
    <w:name w:val="List Paragraph"/>
    <w:basedOn w:val="Normal"/>
    <w:uiPriority w:val="34"/>
    <w:qFormat/>
    <w:rsid w:val="00542A47"/>
    <w:pPr>
      <w:numPr>
        <w:numId w:val="13"/>
      </w:numPr>
      <w:ind w:left="567" w:hanging="567"/>
      <w:contextualSpacing/>
    </w:pPr>
  </w:style>
  <w:style w:type="paragraph" w:customStyle="1" w:styleId="SOPBulletB">
    <w:name w:val="SOP Bullet B"/>
    <w:basedOn w:val="Normal"/>
    <w:qFormat/>
    <w:rsid w:val="0059613B"/>
    <w:pPr>
      <w:numPr>
        <w:numId w:val="7"/>
      </w:numPr>
      <w:spacing w:before="60" w:after="60"/>
      <w:ind w:left="1134" w:hanging="567"/>
    </w:pPr>
    <w:rPr>
      <w:szCs w:val="24"/>
    </w:rPr>
  </w:style>
  <w:style w:type="paragraph" w:customStyle="1" w:styleId="SOPBulletC">
    <w:name w:val="SOP Bullet C"/>
    <w:basedOn w:val="Normal"/>
    <w:qFormat/>
    <w:rsid w:val="0059613B"/>
    <w:pPr>
      <w:numPr>
        <w:numId w:val="8"/>
      </w:numPr>
      <w:spacing w:before="60" w:after="60"/>
    </w:pPr>
    <w:rPr>
      <w:szCs w:val="24"/>
    </w:rPr>
  </w:style>
  <w:style w:type="paragraph" w:customStyle="1" w:styleId="SOPBulletD">
    <w:name w:val="SOP Bullet D"/>
    <w:basedOn w:val="Normal"/>
    <w:qFormat/>
    <w:rsid w:val="0059613B"/>
    <w:pPr>
      <w:numPr>
        <w:numId w:val="9"/>
      </w:numPr>
      <w:spacing w:before="60" w:after="60"/>
    </w:pPr>
    <w:rPr>
      <w:szCs w:val="24"/>
    </w:rPr>
  </w:style>
  <w:style w:type="paragraph" w:customStyle="1" w:styleId="SOPBulletE">
    <w:name w:val="SOP Bullet E"/>
    <w:basedOn w:val="Normal"/>
    <w:qFormat/>
    <w:rsid w:val="0059613B"/>
    <w:pPr>
      <w:numPr>
        <w:numId w:val="10"/>
      </w:numPr>
      <w:spacing w:before="60" w:after="60"/>
      <w:ind w:left="2835" w:hanging="567"/>
    </w:pPr>
    <w:rPr>
      <w:szCs w:val="24"/>
    </w:rPr>
  </w:style>
  <w:style w:type="paragraph" w:customStyle="1" w:styleId="SOPBulletA">
    <w:name w:val="SOP Bullet A"/>
    <w:basedOn w:val="Normal"/>
    <w:qFormat/>
    <w:rsid w:val="0059613B"/>
    <w:pPr>
      <w:numPr>
        <w:numId w:val="11"/>
      </w:numPr>
      <w:spacing w:before="60" w:after="60"/>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5"/>
      </w:numPr>
      <w:contextualSpacing/>
    </w:pPr>
  </w:style>
  <w:style w:type="paragraph" w:styleId="Listenumros3">
    <w:name w:val="List Number 3"/>
    <w:basedOn w:val="Normal"/>
    <w:uiPriority w:val="99"/>
    <w:unhideWhenUsed/>
    <w:rsid w:val="00381E3D"/>
    <w:pPr>
      <w:numPr>
        <w:numId w:val="4"/>
      </w:numPr>
      <w:contextualSpacing/>
    </w:pPr>
  </w:style>
  <w:style w:type="paragraph" w:styleId="Listenumros4">
    <w:name w:val="List Number 4"/>
    <w:basedOn w:val="Normal"/>
    <w:uiPriority w:val="99"/>
    <w:unhideWhenUsed/>
    <w:rsid w:val="00381E3D"/>
    <w:pPr>
      <w:numPr>
        <w:numId w:val="3"/>
      </w:numPr>
      <w:contextualSpacing/>
    </w:pPr>
  </w:style>
  <w:style w:type="paragraph" w:styleId="Listenumros5">
    <w:name w:val="List Number 5"/>
    <w:basedOn w:val="Normal"/>
    <w:uiPriority w:val="99"/>
    <w:unhideWhenUsed/>
    <w:rsid w:val="00381E3D"/>
    <w:pPr>
      <w:numPr>
        <w:numId w:val="2"/>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12"/>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665846"/>
    <w:pPr>
      <w:widowControl w:val="0"/>
      <w:spacing w:before="0" w:after="0"/>
      <w:ind w:left="848" w:hanging="708"/>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665846"/>
    <w:rPr>
      <w:rFonts w:ascii="Arial" w:eastAsia="Times New Roman" w:hAnsi="Arial" w:cs="Times New Roman"/>
      <w:lang w:val="en-US"/>
    </w:rPr>
  </w:style>
  <w:style w:type="paragraph" w:customStyle="1" w:styleId="Paragraphedeliste1">
    <w:name w:val="Paragraphe de liste1"/>
    <w:basedOn w:val="Normal"/>
    <w:rsid w:val="00665846"/>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665846"/>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665846"/>
  </w:style>
  <w:style w:type="character" w:customStyle="1" w:styleId="tlid-translationtranslation">
    <w:name w:val="tlid-translation translation"/>
    <w:basedOn w:val="Policepardfaut"/>
    <w:rsid w:val="00665846"/>
  </w:style>
  <w:style w:type="character" w:customStyle="1" w:styleId="alt-edited">
    <w:name w:val="alt-edited"/>
    <w:basedOn w:val="Policepardfaut"/>
    <w:rsid w:val="00665846"/>
  </w:style>
  <w:style w:type="paragraph" w:customStyle="1" w:styleId="Titre23">
    <w:name w:val="Titre 23"/>
    <w:basedOn w:val="Normal"/>
    <w:rsid w:val="00B7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rgenev\Desktop\Perso\CF\2019-06-12%20-%20Catali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A0C90-36D4-48BA-969A-52B34EB3B781}">
  <ds:schemaRefs>
    <ds:schemaRef ds:uri="http://schemas.microsoft.com/sharepoint/v3/contenttype/forms"/>
  </ds:schemaRefs>
</ds:datastoreItem>
</file>

<file path=customXml/itemProps2.xml><?xml version="1.0" encoding="utf-8"?>
<ds:datastoreItem xmlns:ds="http://schemas.openxmlformats.org/officeDocument/2006/customXml" ds:itemID="{7A99EC41-A987-440A-B070-1D207F45B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69CC6-99B3-42F7-965F-5686FEDF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140</TotalTime>
  <Pages>1</Pages>
  <Words>2629</Words>
  <Characters>14461</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32</cp:revision>
  <dcterms:created xsi:type="dcterms:W3CDTF">2019-06-17T17:05:00Z</dcterms:created>
  <dcterms:modified xsi:type="dcterms:W3CDTF">2023-11-22T12:05:00Z</dcterms:modified>
</cp:coreProperties>
</file>