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B883" w14:textId="77777777" w:rsidR="0030269A" w:rsidRPr="007841A9" w:rsidRDefault="0030269A" w:rsidP="00691468">
      <w:pPr>
        <w:spacing w:before="0" w:after="0"/>
      </w:pPr>
    </w:p>
    <w:tbl>
      <w:tblPr>
        <w:tblStyle w:val="Grilledutableau"/>
        <w:tblW w:w="0" w:type="auto"/>
        <w:tblLook w:val="04A0" w:firstRow="1" w:lastRow="0" w:firstColumn="1" w:lastColumn="0" w:noHBand="0" w:noVBand="1"/>
      </w:tblPr>
      <w:tblGrid>
        <w:gridCol w:w="3325"/>
        <w:gridCol w:w="6745"/>
      </w:tblGrid>
      <w:tr w:rsidR="0030269A" w:rsidRPr="007841A9" w14:paraId="2E737635" w14:textId="77777777" w:rsidTr="00012A3D">
        <w:tc>
          <w:tcPr>
            <w:tcW w:w="3325" w:type="dxa"/>
          </w:tcPr>
          <w:p w14:paraId="643C6962" w14:textId="77777777" w:rsidR="0030269A" w:rsidRPr="007841A9" w:rsidRDefault="0030269A" w:rsidP="00691468">
            <w:pPr>
              <w:spacing w:before="60" w:after="60"/>
              <w:rPr>
                <w:b/>
              </w:rPr>
            </w:pPr>
            <w:r w:rsidRPr="007841A9">
              <w:rPr>
                <w:b/>
              </w:rPr>
              <w:t>Title</w:t>
            </w:r>
          </w:p>
        </w:tc>
        <w:tc>
          <w:tcPr>
            <w:tcW w:w="6745" w:type="dxa"/>
          </w:tcPr>
          <w:p w14:paraId="7CA3AEBD" w14:textId="77777777" w:rsidR="0030269A" w:rsidRPr="007841A9" w:rsidRDefault="00691468" w:rsidP="00691468">
            <w:pPr>
              <w:spacing w:before="60" w:after="60"/>
            </w:pPr>
            <w:r w:rsidRPr="007841A9">
              <w:t>Communication of REB Decisions</w:t>
            </w:r>
          </w:p>
        </w:tc>
      </w:tr>
      <w:tr w:rsidR="0030269A" w:rsidRPr="007841A9" w14:paraId="52D56135" w14:textId="77777777" w:rsidTr="00012A3D">
        <w:tc>
          <w:tcPr>
            <w:tcW w:w="3325" w:type="dxa"/>
          </w:tcPr>
          <w:p w14:paraId="1E8A9850" w14:textId="77777777" w:rsidR="0030269A" w:rsidRPr="007841A9" w:rsidRDefault="58B8826E" w:rsidP="00691468">
            <w:pPr>
              <w:spacing w:before="60" w:after="60"/>
              <w:rPr>
                <w:b/>
                <w:bCs/>
              </w:rPr>
            </w:pPr>
            <w:r w:rsidRPr="007841A9">
              <w:rPr>
                <w:b/>
                <w:bCs/>
              </w:rPr>
              <w:t>SOP Code</w:t>
            </w:r>
          </w:p>
        </w:tc>
        <w:tc>
          <w:tcPr>
            <w:tcW w:w="6745" w:type="dxa"/>
          </w:tcPr>
          <w:p w14:paraId="4601EC5C" w14:textId="37A0E8AB" w:rsidR="0030269A" w:rsidRPr="007841A9" w:rsidRDefault="00691468" w:rsidP="00691468">
            <w:pPr>
              <w:spacing w:before="60" w:after="60"/>
            </w:pPr>
            <w:r w:rsidRPr="007841A9">
              <w:t>REB</w:t>
            </w:r>
            <w:r w:rsidR="00E626AC" w:rsidRPr="007841A9">
              <w:t>-</w:t>
            </w:r>
            <w:r w:rsidRPr="007841A9">
              <w:t xml:space="preserve">SOP </w:t>
            </w:r>
            <w:r w:rsidR="000C2D23" w:rsidRPr="007841A9">
              <w:t>601-002</w:t>
            </w:r>
          </w:p>
        </w:tc>
      </w:tr>
      <w:tr w:rsidR="0030269A" w:rsidRPr="007841A9" w14:paraId="24BD952F" w14:textId="77777777" w:rsidTr="00012A3D">
        <w:tc>
          <w:tcPr>
            <w:tcW w:w="3325" w:type="dxa"/>
          </w:tcPr>
          <w:p w14:paraId="5EFF1BA6" w14:textId="77777777" w:rsidR="0030269A" w:rsidRPr="007841A9" w:rsidRDefault="0030269A" w:rsidP="00691468">
            <w:pPr>
              <w:spacing w:before="60" w:after="60"/>
              <w:rPr>
                <w:b/>
              </w:rPr>
            </w:pPr>
            <w:r w:rsidRPr="007841A9">
              <w:rPr>
                <w:b/>
              </w:rPr>
              <w:t>N2/CAREB SOP CODE</w:t>
            </w:r>
          </w:p>
        </w:tc>
        <w:tc>
          <w:tcPr>
            <w:tcW w:w="6745" w:type="dxa"/>
          </w:tcPr>
          <w:p w14:paraId="7BD490A2" w14:textId="2B8FC080" w:rsidR="0030269A" w:rsidRPr="007841A9" w:rsidRDefault="00691468" w:rsidP="00691468">
            <w:pPr>
              <w:spacing w:before="60" w:after="60"/>
            </w:pPr>
            <w:r w:rsidRPr="007841A9">
              <w:t>SOP 601</w:t>
            </w:r>
            <w:r w:rsidR="000C2D23" w:rsidRPr="007841A9">
              <w:t>-003</w:t>
            </w:r>
          </w:p>
        </w:tc>
      </w:tr>
      <w:tr w:rsidR="0030269A" w:rsidRPr="007841A9" w14:paraId="5E871D96" w14:textId="77777777" w:rsidTr="00012A3D">
        <w:tc>
          <w:tcPr>
            <w:tcW w:w="3325" w:type="dxa"/>
          </w:tcPr>
          <w:p w14:paraId="1810E925" w14:textId="77777777" w:rsidR="0030269A" w:rsidRPr="007841A9" w:rsidRDefault="0030269A" w:rsidP="00691468">
            <w:pPr>
              <w:spacing w:before="60" w:after="60"/>
              <w:rPr>
                <w:b/>
              </w:rPr>
            </w:pPr>
            <w:r w:rsidRPr="007841A9">
              <w:rPr>
                <w:b/>
              </w:rPr>
              <w:t>Effective Date</w:t>
            </w:r>
          </w:p>
        </w:tc>
        <w:tc>
          <w:tcPr>
            <w:tcW w:w="6745" w:type="dxa"/>
          </w:tcPr>
          <w:p w14:paraId="5BCCE557" w14:textId="77777777" w:rsidR="0030269A" w:rsidRPr="007841A9" w:rsidRDefault="0030269A" w:rsidP="00691468">
            <w:pPr>
              <w:spacing w:before="60" w:after="60"/>
            </w:pPr>
            <w:r w:rsidRPr="007841A9">
              <w:rPr>
                <w:highlight w:val="yellow"/>
              </w:rPr>
              <w:t>YYYY-MM-DD</w:t>
            </w:r>
          </w:p>
        </w:tc>
      </w:tr>
    </w:tbl>
    <w:p w14:paraId="0086DB50" w14:textId="77777777" w:rsidR="0030269A" w:rsidRPr="007841A9" w:rsidRDefault="0030269A" w:rsidP="00691468"/>
    <w:tbl>
      <w:tblPr>
        <w:tblStyle w:val="Grilledutableau"/>
        <w:tblW w:w="0" w:type="auto"/>
        <w:tblLook w:val="04A0" w:firstRow="1" w:lastRow="0" w:firstColumn="1" w:lastColumn="0" w:noHBand="0" w:noVBand="1"/>
      </w:tblPr>
      <w:tblGrid>
        <w:gridCol w:w="3325"/>
        <w:gridCol w:w="4467"/>
        <w:gridCol w:w="2206"/>
      </w:tblGrid>
      <w:tr w:rsidR="0030269A" w:rsidRPr="007841A9" w14:paraId="6D5D497D" w14:textId="77777777" w:rsidTr="00012A3D">
        <w:tc>
          <w:tcPr>
            <w:tcW w:w="3325" w:type="dxa"/>
            <w:shd w:val="clear" w:color="auto" w:fill="D9D9D9" w:themeFill="background1" w:themeFillShade="D9"/>
          </w:tcPr>
          <w:p w14:paraId="50983B0B" w14:textId="77777777" w:rsidR="0030269A" w:rsidRPr="007841A9" w:rsidRDefault="0030269A" w:rsidP="00691468">
            <w:pPr>
              <w:spacing w:before="60" w:after="60"/>
              <w:jc w:val="center"/>
              <w:rPr>
                <w:b/>
              </w:rPr>
            </w:pPr>
            <w:r w:rsidRPr="007841A9">
              <w:rPr>
                <w:b/>
              </w:rPr>
              <w:t>Status</w:t>
            </w:r>
          </w:p>
        </w:tc>
        <w:tc>
          <w:tcPr>
            <w:tcW w:w="4467" w:type="dxa"/>
            <w:shd w:val="clear" w:color="auto" w:fill="D9D9D9" w:themeFill="background1" w:themeFillShade="D9"/>
          </w:tcPr>
          <w:p w14:paraId="7B1DEA90" w14:textId="77777777" w:rsidR="0030269A" w:rsidRPr="007841A9" w:rsidRDefault="0030269A" w:rsidP="00691468">
            <w:pPr>
              <w:spacing w:before="60" w:after="60"/>
              <w:jc w:val="center"/>
              <w:rPr>
                <w:b/>
              </w:rPr>
            </w:pPr>
            <w:r w:rsidRPr="007841A9">
              <w:rPr>
                <w:b/>
              </w:rPr>
              <w:t>Name and Title</w:t>
            </w:r>
          </w:p>
        </w:tc>
        <w:tc>
          <w:tcPr>
            <w:tcW w:w="2206" w:type="dxa"/>
            <w:shd w:val="clear" w:color="auto" w:fill="D9D9D9" w:themeFill="background1" w:themeFillShade="D9"/>
          </w:tcPr>
          <w:p w14:paraId="45BC8C40" w14:textId="77777777" w:rsidR="0030269A" w:rsidRPr="007841A9" w:rsidRDefault="0030269A" w:rsidP="00691468">
            <w:pPr>
              <w:spacing w:before="60" w:after="60"/>
              <w:jc w:val="center"/>
              <w:rPr>
                <w:b/>
              </w:rPr>
            </w:pPr>
            <w:r w:rsidRPr="007841A9">
              <w:rPr>
                <w:b/>
              </w:rPr>
              <w:t>Date</w:t>
            </w:r>
          </w:p>
        </w:tc>
      </w:tr>
      <w:tr w:rsidR="0030269A" w:rsidRPr="007841A9" w14:paraId="6848F18B" w14:textId="77777777" w:rsidTr="00012A3D">
        <w:tc>
          <w:tcPr>
            <w:tcW w:w="3325" w:type="dxa"/>
          </w:tcPr>
          <w:p w14:paraId="2ED9433D" w14:textId="77777777" w:rsidR="0030269A" w:rsidRPr="007841A9" w:rsidRDefault="00012A3D" w:rsidP="00691468">
            <w:pPr>
              <w:spacing w:before="60" w:after="60"/>
              <w:jc w:val="left"/>
              <w:rPr>
                <w:b/>
                <w:i/>
                <w:highlight w:val="yellow"/>
              </w:rPr>
            </w:pPr>
            <w:r w:rsidRPr="007841A9">
              <w:rPr>
                <w:b/>
                <w:i/>
              </w:rPr>
              <w:t>Author of Harmonized Template</w:t>
            </w:r>
          </w:p>
        </w:tc>
        <w:tc>
          <w:tcPr>
            <w:tcW w:w="4467" w:type="dxa"/>
          </w:tcPr>
          <w:p w14:paraId="5FF53454" w14:textId="0C49E2C1" w:rsidR="0030269A" w:rsidRPr="007841A9" w:rsidRDefault="000C2D23" w:rsidP="00691468">
            <w:pPr>
              <w:spacing w:before="60" w:after="60"/>
            </w:pPr>
            <w:r w:rsidRPr="007841A9">
              <w:t xml:space="preserve">REB </w:t>
            </w:r>
            <w:r w:rsidR="00012A3D" w:rsidRPr="007841A9">
              <w:t>SOPs</w:t>
            </w:r>
            <w:r w:rsidRPr="007841A9">
              <w:t xml:space="preserve"> developed by CATALIS Network</w:t>
            </w:r>
          </w:p>
        </w:tc>
        <w:tc>
          <w:tcPr>
            <w:tcW w:w="2206" w:type="dxa"/>
          </w:tcPr>
          <w:p w14:paraId="5CE56B0E" w14:textId="4890F4DC" w:rsidR="0030269A" w:rsidRPr="007841A9" w:rsidRDefault="000C2D23" w:rsidP="00691468">
            <w:pPr>
              <w:spacing w:before="60" w:after="60"/>
              <w:jc w:val="center"/>
            </w:pPr>
            <w:r w:rsidRPr="007841A9">
              <w:t>2023-05-01</w:t>
            </w:r>
          </w:p>
        </w:tc>
      </w:tr>
      <w:tr w:rsidR="005A11F5" w:rsidRPr="007841A9" w14:paraId="698111E7" w14:textId="77777777" w:rsidTr="00012A3D">
        <w:tc>
          <w:tcPr>
            <w:tcW w:w="3325" w:type="dxa"/>
          </w:tcPr>
          <w:p w14:paraId="51674C31" w14:textId="77777777" w:rsidR="005A11F5" w:rsidRPr="007841A9" w:rsidRDefault="005A11F5" w:rsidP="00691468">
            <w:pPr>
              <w:spacing w:before="60" w:after="60"/>
              <w:rPr>
                <w:b/>
                <w:i/>
                <w:highlight w:val="yellow"/>
              </w:rPr>
            </w:pPr>
            <w:r w:rsidRPr="007841A9">
              <w:rPr>
                <w:b/>
                <w:i/>
              </w:rPr>
              <w:t>Approved</w:t>
            </w:r>
          </w:p>
        </w:tc>
        <w:tc>
          <w:tcPr>
            <w:tcW w:w="4467" w:type="dxa"/>
          </w:tcPr>
          <w:p w14:paraId="02E2E6D2" w14:textId="77777777" w:rsidR="005A11F5" w:rsidRPr="007841A9" w:rsidRDefault="008F4B93" w:rsidP="00691468">
            <w:pPr>
              <w:spacing w:before="60" w:after="60"/>
            </w:pPr>
            <w:r w:rsidRPr="007841A9">
              <w:t>REB Full Board Meeting XXX</w:t>
            </w:r>
          </w:p>
        </w:tc>
        <w:tc>
          <w:tcPr>
            <w:tcW w:w="2206" w:type="dxa"/>
          </w:tcPr>
          <w:p w14:paraId="55BDB2CC" w14:textId="77777777" w:rsidR="005A11F5" w:rsidRPr="007841A9" w:rsidRDefault="005A11F5" w:rsidP="00691468">
            <w:pPr>
              <w:spacing w:before="60" w:after="60"/>
              <w:jc w:val="center"/>
            </w:pPr>
            <w:r w:rsidRPr="007841A9">
              <w:t>YYYY-MM-DD</w:t>
            </w:r>
          </w:p>
        </w:tc>
      </w:tr>
      <w:tr w:rsidR="005A11F5" w:rsidRPr="007841A9" w14:paraId="4102BF69" w14:textId="77777777" w:rsidTr="00012A3D">
        <w:tc>
          <w:tcPr>
            <w:tcW w:w="3325" w:type="dxa"/>
          </w:tcPr>
          <w:p w14:paraId="1798BAF0" w14:textId="07A7F17C" w:rsidR="005A11F5" w:rsidRPr="007841A9" w:rsidRDefault="000C2D23" w:rsidP="00691468">
            <w:pPr>
              <w:spacing w:before="60" w:after="60"/>
              <w:rPr>
                <w:b/>
                <w:i/>
                <w:highlight w:val="yellow"/>
              </w:rPr>
            </w:pPr>
            <w:r w:rsidRPr="007841A9">
              <w:rPr>
                <w:b/>
                <w:i/>
              </w:rPr>
              <w:t>[Approved] or [</w:t>
            </w:r>
            <w:r w:rsidR="005A11F5" w:rsidRPr="007841A9">
              <w:rPr>
                <w:b/>
                <w:i/>
              </w:rPr>
              <w:t>Acknowledge receipt</w:t>
            </w:r>
            <w:r w:rsidRPr="007841A9">
              <w:rPr>
                <w:b/>
                <w:i/>
              </w:rPr>
              <w:t>]</w:t>
            </w:r>
          </w:p>
        </w:tc>
        <w:tc>
          <w:tcPr>
            <w:tcW w:w="4467" w:type="dxa"/>
          </w:tcPr>
          <w:p w14:paraId="594851DE" w14:textId="77777777" w:rsidR="005A11F5" w:rsidRPr="007841A9" w:rsidRDefault="00E428CC" w:rsidP="00691468">
            <w:pPr>
              <w:spacing w:before="60" w:after="60"/>
            </w:pPr>
            <w:r w:rsidRPr="007841A9">
              <w:t xml:space="preserve">CA </w:t>
            </w:r>
            <w:r w:rsidR="005A11F5" w:rsidRPr="007841A9">
              <w:t>XXX</w:t>
            </w:r>
          </w:p>
        </w:tc>
        <w:tc>
          <w:tcPr>
            <w:tcW w:w="2206" w:type="dxa"/>
          </w:tcPr>
          <w:p w14:paraId="467992D5" w14:textId="77777777" w:rsidR="005A11F5" w:rsidRPr="007841A9" w:rsidRDefault="005A11F5" w:rsidP="00691468">
            <w:pPr>
              <w:spacing w:before="60" w:after="60"/>
              <w:jc w:val="center"/>
            </w:pPr>
            <w:r w:rsidRPr="007841A9">
              <w:t>YYYY-MM-DD</w:t>
            </w:r>
          </w:p>
        </w:tc>
      </w:tr>
    </w:tbl>
    <w:p w14:paraId="2175E44E" w14:textId="77777777" w:rsidR="002E18ED" w:rsidRPr="007841A9" w:rsidRDefault="002E18ED" w:rsidP="00691468">
      <w:pPr>
        <w:rPr>
          <w:b/>
        </w:rPr>
      </w:pPr>
    </w:p>
    <w:p w14:paraId="42C450EA" w14:textId="77777777" w:rsidR="0030269A" w:rsidRPr="007841A9" w:rsidRDefault="0030269A" w:rsidP="00691468">
      <w:pPr>
        <w:rPr>
          <w:b/>
        </w:rPr>
      </w:pPr>
      <w:r w:rsidRPr="007841A9">
        <w:rPr>
          <w:b/>
        </w:rPr>
        <w:t>Table of Content</w:t>
      </w:r>
    </w:p>
    <w:p w14:paraId="3F59DE1F" w14:textId="362FE1E6" w:rsidR="007841A9" w:rsidRDefault="0030269A">
      <w:pPr>
        <w:pStyle w:val="TM1"/>
        <w:rPr>
          <w:kern w:val="2"/>
          <w:sz w:val="22"/>
          <w:szCs w:val="22"/>
          <w:lang w:val="fr-CA" w:eastAsia="fr-CA"/>
          <w14:ligatures w14:val="standardContextual"/>
        </w:rPr>
      </w:pPr>
      <w:r w:rsidRPr="007841A9">
        <w:rPr>
          <w:noProof w:val="0"/>
        </w:rPr>
        <w:fldChar w:fldCharType="begin"/>
      </w:r>
      <w:r w:rsidRPr="007841A9">
        <w:rPr>
          <w:noProof w:val="0"/>
        </w:rPr>
        <w:instrText xml:space="preserve"> TOC \o "1-2" \u </w:instrText>
      </w:r>
      <w:r w:rsidRPr="007841A9">
        <w:rPr>
          <w:noProof w:val="0"/>
        </w:rPr>
        <w:fldChar w:fldCharType="separate"/>
      </w:r>
      <w:r w:rsidR="007841A9">
        <w:t>1</w:t>
      </w:r>
      <w:r w:rsidR="007841A9">
        <w:rPr>
          <w:kern w:val="2"/>
          <w:sz w:val="22"/>
          <w:szCs w:val="22"/>
          <w:lang w:val="fr-CA" w:eastAsia="fr-CA"/>
          <w14:ligatures w14:val="standardContextual"/>
        </w:rPr>
        <w:tab/>
      </w:r>
      <w:r w:rsidR="007841A9">
        <w:t>Purpose</w:t>
      </w:r>
      <w:r w:rsidR="007841A9">
        <w:tab/>
      </w:r>
      <w:r w:rsidR="007841A9">
        <w:fldChar w:fldCharType="begin"/>
      </w:r>
      <w:r w:rsidR="007841A9">
        <w:instrText xml:space="preserve"> PAGEREF _Toc151318856 \h </w:instrText>
      </w:r>
      <w:r w:rsidR="007841A9">
        <w:fldChar w:fldCharType="separate"/>
      </w:r>
      <w:r w:rsidR="007841A9">
        <w:t>1</w:t>
      </w:r>
      <w:r w:rsidR="007841A9">
        <w:fldChar w:fldCharType="end"/>
      </w:r>
    </w:p>
    <w:p w14:paraId="75AB1BCF" w14:textId="7F24DF8B" w:rsidR="007841A9" w:rsidRDefault="007841A9">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_Toc151318857 \h </w:instrText>
      </w:r>
      <w:r>
        <w:fldChar w:fldCharType="separate"/>
      </w:r>
      <w:r>
        <w:t>1</w:t>
      </w:r>
      <w:r>
        <w:fldChar w:fldCharType="end"/>
      </w:r>
    </w:p>
    <w:p w14:paraId="4056B827" w14:textId="06190041" w:rsidR="007841A9" w:rsidRDefault="007841A9">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_Toc151318858 \h </w:instrText>
      </w:r>
      <w:r>
        <w:fldChar w:fldCharType="separate"/>
      </w:r>
      <w:r>
        <w:t>2</w:t>
      </w:r>
      <w:r>
        <w:fldChar w:fldCharType="end"/>
      </w:r>
    </w:p>
    <w:p w14:paraId="59E395FF" w14:textId="5698F5D0" w:rsidR="007841A9" w:rsidRDefault="007841A9">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_Toc151318859 \h </w:instrText>
      </w:r>
      <w:r>
        <w:fldChar w:fldCharType="separate"/>
      </w:r>
      <w:r>
        <w:t>2</w:t>
      </w:r>
      <w:r>
        <w:fldChar w:fldCharType="end"/>
      </w:r>
    </w:p>
    <w:p w14:paraId="0AFE2BB6" w14:textId="7931E811" w:rsidR="007841A9" w:rsidRDefault="007841A9">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_Toc151318860 \h </w:instrText>
      </w:r>
      <w:r>
        <w:fldChar w:fldCharType="separate"/>
      </w:r>
      <w:r>
        <w:t>2</w:t>
      </w:r>
      <w:r>
        <w:fldChar w:fldCharType="end"/>
      </w:r>
    </w:p>
    <w:p w14:paraId="53DF90F3" w14:textId="3E55E380" w:rsidR="007841A9" w:rsidRDefault="007841A9">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Notification of REB Decisions</w:t>
      </w:r>
      <w:r>
        <w:tab/>
      </w:r>
      <w:r>
        <w:fldChar w:fldCharType="begin"/>
      </w:r>
      <w:r>
        <w:instrText xml:space="preserve"> PAGEREF _Toc151318861 \h </w:instrText>
      </w:r>
      <w:r>
        <w:fldChar w:fldCharType="separate"/>
      </w:r>
      <w:r>
        <w:t>2</w:t>
      </w:r>
      <w:r>
        <w:fldChar w:fldCharType="end"/>
      </w:r>
    </w:p>
    <w:p w14:paraId="42C89E15" w14:textId="0A90661F" w:rsidR="007841A9" w:rsidRDefault="007841A9">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_Toc151318862 \h </w:instrText>
      </w:r>
      <w:r>
        <w:fldChar w:fldCharType="separate"/>
      </w:r>
      <w:r>
        <w:t>3</w:t>
      </w:r>
      <w:r>
        <w:fldChar w:fldCharType="end"/>
      </w:r>
    </w:p>
    <w:p w14:paraId="2565635F" w14:textId="79091FAC" w:rsidR="007841A9" w:rsidRDefault="007841A9">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_Toc151318863 \h </w:instrText>
      </w:r>
      <w:r>
        <w:fldChar w:fldCharType="separate"/>
      </w:r>
      <w:r>
        <w:t>3</w:t>
      </w:r>
      <w:r>
        <w:fldChar w:fldCharType="end"/>
      </w:r>
    </w:p>
    <w:p w14:paraId="3DA201E3" w14:textId="30D297DE" w:rsidR="007841A9" w:rsidRDefault="007841A9">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_Toc151318864 \h </w:instrText>
      </w:r>
      <w:r>
        <w:fldChar w:fldCharType="separate"/>
      </w:r>
      <w:r>
        <w:t>3</w:t>
      </w:r>
      <w:r>
        <w:fldChar w:fldCharType="end"/>
      </w:r>
    </w:p>
    <w:p w14:paraId="272530E7" w14:textId="0B2F3B28" w:rsidR="002B5BA5" w:rsidRPr="007841A9" w:rsidRDefault="0030269A" w:rsidP="00691468">
      <w:r w:rsidRPr="007841A9">
        <w:rPr>
          <w:rFonts w:eastAsiaTheme="minorEastAsia" w:cstheme="minorHAnsi"/>
          <w:lang w:eastAsia="fr-FR"/>
        </w:rPr>
        <w:fldChar w:fldCharType="end"/>
      </w:r>
    </w:p>
    <w:p w14:paraId="58D1E163" w14:textId="77777777" w:rsidR="00B66BD6" w:rsidRPr="007841A9" w:rsidRDefault="00756C58" w:rsidP="00691468">
      <w:pPr>
        <w:pStyle w:val="Titre1"/>
        <w:widowControl/>
      </w:pPr>
      <w:bookmarkStart w:id="0" w:name="_Toc151318856"/>
      <w:r w:rsidRPr="007841A9">
        <w:t>Purpose</w:t>
      </w:r>
      <w:bookmarkEnd w:id="0"/>
    </w:p>
    <w:p w14:paraId="06C07A25" w14:textId="77777777" w:rsidR="00691468" w:rsidRPr="007841A9" w:rsidRDefault="00691468" w:rsidP="00691468">
      <w:r w:rsidRPr="007841A9">
        <w:t>This standard operating procedure (SOP) describes communications between the Research Ethics Board (REB) and the Researcher and his/her research team.</w:t>
      </w:r>
    </w:p>
    <w:p w14:paraId="211A957D" w14:textId="77777777" w:rsidR="00756C58" w:rsidRPr="007841A9" w:rsidRDefault="00756C58" w:rsidP="00691468">
      <w:pPr>
        <w:pStyle w:val="Titre1"/>
        <w:widowControl/>
      </w:pPr>
      <w:bookmarkStart w:id="1" w:name="_Toc151318857"/>
      <w:r w:rsidRPr="007841A9">
        <w:t>Scope</w:t>
      </w:r>
      <w:bookmarkEnd w:id="1"/>
    </w:p>
    <w:p w14:paraId="13E5B128" w14:textId="77777777" w:rsidR="00691468" w:rsidRPr="007841A9" w:rsidRDefault="00691468" w:rsidP="00691468">
      <w:r w:rsidRPr="007841A9">
        <w:t>This SOP pertains to REBs that review human participant research in compliance with applicable regulations and guidelines.</w:t>
      </w:r>
    </w:p>
    <w:p w14:paraId="6DCA0FB7" w14:textId="77777777" w:rsidR="00756C58" w:rsidRPr="007841A9" w:rsidRDefault="002E18ED" w:rsidP="00691468">
      <w:pPr>
        <w:pStyle w:val="Titre1"/>
        <w:widowControl/>
      </w:pPr>
      <w:bookmarkStart w:id="2" w:name="_Toc151318858"/>
      <w:r w:rsidRPr="007841A9">
        <w:lastRenderedPageBreak/>
        <w:t>R</w:t>
      </w:r>
      <w:r w:rsidR="00756C58" w:rsidRPr="007841A9">
        <w:t>esponsibilities</w:t>
      </w:r>
      <w:bookmarkEnd w:id="2"/>
    </w:p>
    <w:p w14:paraId="7BC9C48E" w14:textId="77777777" w:rsidR="00691468" w:rsidRPr="007841A9" w:rsidRDefault="00691468" w:rsidP="00691468">
      <w:r w:rsidRPr="007841A9">
        <w:t>All REB members and designated REB Support Staff are responsible for ensuring that the requirements of this SOP are met.</w:t>
      </w:r>
    </w:p>
    <w:p w14:paraId="06867D24" w14:textId="77777777" w:rsidR="00756C58" w:rsidRPr="007841A9" w:rsidRDefault="002E18ED" w:rsidP="00691468">
      <w:pPr>
        <w:pStyle w:val="Titre1"/>
        <w:widowControl/>
      </w:pPr>
      <w:bookmarkStart w:id="3" w:name="_Toc151318859"/>
      <w:r w:rsidRPr="007841A9">
        <w:t>D</w:t>
      </w:r>
      <w:r w:rsidR="00756C58" w:rsidRPr="007841A9">
        <w:t>efinitions</w:t>
      </w:r>
      <w:bookmarkEnd w:id="3"/>
    </w:p>
    <w:p w14:paraId="707B83CD" w14:textId="77777777" w:rsidR="002E18ED" w:rsidRPr="007841A9" w:rsidRDefault="00A313CE" w:rsidP="00691468">
      <w:r w:rsidRPr="007841A9">
        <w:t>See Glossary of Terms.</w:t>
      </w:r>
    </w:p>
    <w:p w14:paraId="4D7C3261" w14:textId="77777777" w:rsidR="00756C58" w:rsidRPr="007841A9" w:rsidRDefault="002E18ED" w:rsidP="00691468">
      <w:pPr>
        <w:pStyle w:val="Titre1"/>
        <w:widowControl/>
      </w:pPr>
      <w:bookmarkStart w:id="4" w:name="_Toc151318860"/>
      <w:r w:rsidRPr="007841A9">
        <w:t>P</w:t>
      </w:r>
      <w:r w:rsidR="00756C58" w:rsidRPr="007841A9">
        <w:t>rocedures</w:t>
      </w:r>
      <w:bookmarkEnd w:id="4"/>
    </w:p>
    <w:p w14:paraId="30A58416" w14:textId="77777777" w:rsidR="00691468" w:rsidRPr="007841A9" w:rsidRDefault="00691468" w:rsidP="00691468">
      <w:r w:rsidRPr="007841A9">
        <w:t>In the interest of enhancing human research participant protection, it is important for the REB to foster collaboration and open communication between and among the REB, Researchers, research staff, and representatives of the institution. This applies not only to communications related to a specific research project, but also to communications related to ethical issues and to REB policies and procedures.</w:t>
      </w:r>
    </w:p>
    <w:p w14:paraId="58C91975" w14:textId="30F0A278" w:rsidR="00691468" w:rsidRPr="007841A9" w:rsidRDefault="00691468" w:rsidP="00691468">
      <w:r w:rsidRPr="007841A9">
        <w:t xml:space="preserve">All Researchers participating in an REB-approved research project </w:t>
      </w:r>
      <w:r w:rsidR="00923535" w:rsidRPr="007841A9">
        <w:t>are</w:t>
      </w:r>
      <w:r w:rsidRPr="007841A9">
        <w:t xml:space="preserve"> informed, in writing, of all de</w:t>
      </w:r>
      <w:r w:rsidR="005375DE" w:rsidRPr="007841A9">
        <w:t>cisions</w:t>
      </w:r>
      <w:r w:rsidRPr="007841A9">
        <w:t xml:space="preserve"> made by the REB regarding specific research.</w:t>
      </w:r>
      <w:r w:rsidRPr="007841A9">
        <w:rPr>
          <w:vertAlign w:val="superscript"/>
        </w:rPr>
        <w:footnoteReference w:id="1"/>
      </w:r>
    </w:p>
    <w:p w14:paraId="35E272B3" w14:textId="69C86A3A" w:rsidR="00691468" w:rsidRPr="007841A9" w:rsidRDefault="00691468" w:rsidP="00691468">
      <w:r w:rsidRPr="007841A9">
        <w:t xml:space="preserve">Feedback from Researchers </w:t>
      </w:r>
      <w:r w:rsidR="00923535" w:rsidRPr="007841A9">
        <w:t>is</w:t>
      </w:r>
      <w:r w:rsidRPr="007841A9">
        <w:t xml:space="preserve"> encouraged and </w:t>
      </w:r>
      <w:r w:rsidR="00923535" w:rsidRPr="007841A9">
        <w:t>is</w:t>
      </w:r>
      <w:r w:rsidRPr="007841A9">
        <w:t xml:space="preserve"> considered an opportunity to review and improve the functioning of the REB as well as the REB office procedures themselves.</w:t>
      </w:r>
    </w:p>
    <w:p w14:paraId="4B5704A9" w14:textId="48A01959" w:rsidR="00691468" w:rsidRPr="007841A9" w:rsidRDefault="00691468" w:rsidP="00691468">
      <w:proofErr w:type="gramStart"/>
      <w:r w:rsidRPr="007841A9">
        <w:t>In order to</w:t>
      </w:r>
      <w:proofErr w:type="gramEnd"/>
      <w:r w:rsidRPr="007841A9">
        <w:t xml:space="preserve"> facilitate clear and accurate communication with Researchers and research staff, the REB follow</w:t>
      </w:r>
      <w:r w:rsidR="00E71EE7" w:rsidRPr="007841A9">
        <w:t>s</w:t>
      </w:r>
      <w:r w:rsidRPr="007841A9">
        <w:t xml:space="preserve"> standardized notification and documentation procedures.</w:t>
      </w:r>
    </w:p>
    <w:p w14:paraId="645A93BF" w14:textId="40F942D9" w:rsidR="00691468" w:rsidRPr="007841A9" w:rsidRDefault="00691468" w:rsidP="00691468">
      <w:r w:rsidRPr="007841A9">
        <w:t xml:space="preserve">The communications between REB members and researchers or other parties involved in a review application </w:t>
      </w:r>
      <w:r w:rsidR="00E71EE7" w:rsidRPr="007841A9">
        <w:t xml:space="preserve">are </w:t>
      </w:r>
      <w:r w:rsidRPr="007841A9">
        <w:t>documented in REB records.</w:t>
      </w:r>
    </w:p>
    <w:p w14:paraId="01E2E3C0" w14:textId="77777777" w:rsidR="00691468" w:rsidRPr="007841A9" w:rsidRDefault="00691468" w:rsidP="00691468">
      <w:pPr>
        <w:pStyle w:val="Titre2"/>
        <w:widowControl/>
      </w:pPr>
      <w:bookmarkStart w:id="5" w:name="_Toc151318861"/>
      <w:r w:rsidRPr="007841A9">
        <w:t>Notification of REB Decisions</w:t>
      </w:r>
      <w:bookmarkEnd w:id="5"/>
    </w:p>
    <w:p w14:paraId="7847FCA9" w14:textId="7EEA85CE" w:rsidR="00691468" w:rsidRPr="007841A9" w:rsidRDefault="00691468" w:rsidP="00691468">
      <w:pPr>
        <w:pStyle w:val="Titre3"/>
        <w:widowControl/>
      </w:pPr>
      <w:r w:rsidRPr="007841A9">
        <w:t xml:space="preserve">The REB </w:t>
      </w:r>
      <w:r w:rsidR="00923535" w:rsidRPr="007841A9">
        <w:t xml:space="preserve">notifies </w:t>
      </w:r>
      <w:r w:rsidRPr="007841A9">
        <w:t>the Researcher and his/her research staff, in writing and within a reasonable time frame (except under special circumstances, 15 working days or less</w:t>
      </w:r>
      <w:r w:rsidRPr="007841A9">
        <w:rPr>
          <w:vertAlign w:val="superscript"/>
        </w:rPr>
        <w:footnoteReference w:id="2"/>
      </w:r>
      <w:r w:rsidRPr="007841A9">
        <w:t xml:space="preserve"> or, in the case of multicentre trials, 5 working days or less</w:t>
      </w:r>
      <w:r w:rsidRPr="007841A9">
        <w:rPr>
          <w:vertAlign w:val="superscript"/>
        </w:rPr>
        <w:footnoteReference w:id="3"/>
      </w:r>
      <w:r w:rsidRPr="007841A9">
        <w:t xml:space="preserve">), of the REB’s decision following a review for ethics approval of new </w:t>
      </w:r>
      <w:proofErr w:type="gramStart"/>
      <w:r w:rsidRPr="007841A9">
        <w:t>research;</w:t>
      </w:r>
      <w:proofErr w:type="gramEnd"/>
    </w:p>
    <w:p w14:paraId="7CB4DD46" w14:textId="3F13F167" w:rsidR="00691468" w:rsidRPr="007841A9" w:rsidRDefault="00691468" w:rsidP="00691468">
      <w:pPr>
        <w:pStyle w:val="Titre3"/>
        <w:widowControl/>
      </w:pPr>
      <w:r w:rsidRPr="007841A9">
        <w:lastRenderedPageBreak/>
        <w:t xml:space="preserve">The REB will </w:t>
      </w:r>
      <w:r w:rsidR="00FD165B" w:rsidRPr="007841A9">
        <w:t>notify</w:t>
      </w:r>
      <w:r w:rsidR="00923535" w:rsidRPr="007841A9">
        <w:t xml:space="preserve"> </w:t>
      </w:r>
      <w:r w:rsidRPr="007841A9">
        <w:t>the Researcher and his/her research staff, in writing and within a reasonable time frame, of the REB’s decision regarding an application for modifications to approved research, application for continuing review, or reportable events</w:t>
      </w:r>
      <w:r w:rsidRPr="007841A9">
        <w:rPr>
          <w:vertAlign w:val="superscript"/>
        </w:rPr>
        <w:footnoteReference w:id="4"/>
      </w:r>
      <w:r w:rsidRPr="007841A9">
        <w:t>;</w:t>
      </w:r>
    </w:p>
    <w:p w14:paraId="4199BD57" w14:textId="12FDAEA6" w:rsidR="00691468" w:rsidRPr="007841A9" w:rsidRDefault="00691468" w:rsidP="00691468">
      <w:pPr>
        <w:pStyle w:val="Titre3"/>
        <w:widowControl/>
      </w:pPr>
      <w:r w:rsidRPr="007841A9">
        <w:t xml:space="preserve">The document </w:t>
      </w:r>
      <w:r w:rsidR="00E71EE7" w:rsidRPr="007841A9">
        <w:t xml:space="preserve">outlining </w:t>
      </w:r>
      <w:r w:rsidRPr="007841A9">
        <w:t xml:space="preserve">the REB decision </w:t>
      </w:r>
      <w:r w:rsidR="00E71EE7" w:rsidRPr="007841A9">
        <w:t xml:space="preserve">(official document in Nagano) </w:t>
      </w:r>
      <w:r w:rsidR="00923535" w:rsidRPr="007841A9">
        <w:t>is</w:t>
      </w:r>
      <w:r w:rsidRPr="007841A9">
        <w:t xml:space="preserve"> sent to the Researcher(s</w:t>
      </w:r>
      <w:proofErr w:type="gramStart"/>
      <w:r w:rsidRPr="007841A9">
        <w:t>);</w:t>
      </w:r>
      <w:proofErr w:type="gramEnd"/>
    </w:p>
    <w:p w14:paraId="420196A3" w14:textId="64D2B70C" w:rsidR="00691468" w:rsidRPr="007841A9" w:rsidRDefault="00691468" w:rsidP="00691468">
      <w:pPr>
        <w:pStyle w:val="Titre3"/>
        <w:widowControl/>
      </w:pPr>
      <w:r w:rsidRPr="007841A9">
        <w:t xml:space="preserve">All communications regarding a research project take place on the Nagano platform. In the rare instances where communication takes place outside Nagano (e.g. conflict of interest declarations, if any), the Researcher </w:t>
      </w:r>
      <w:r w:rsidR="00923535" w:rsidRPr="007841A9">
        <w:t>is</w:t>
      </w:r>
      <w:r w:rsidRPr="007841A9">
        <w:t xml:space="preserve"> asked to include the REB number or equivalent designation assigned to the research in all subsequent correspondence with the REB. All communications outside Nagano </w:t>
      </w:r>
      <w:r w:rsidR="00923535" w:rsidRPr="007841A9">
        <w:t>are</w:t>
      </w:r>
      <w:r w:rsidRPr="007841A9">
        <w:t xml:space="preserve"> uploaded to Nagano, using appropriate security measures to ensure confidentiality, if </w:t>
      </w:r>
      <w:proofErr w:type="gramStart"/>
      <w:r w:rsidRPr="007841A9">
        <w:t>any;</w:t>
      </w:r>
      <w:proofErr w:type="gramEnd"/>
    </w:p>
    <w:p w14:paraId="51FCB17F" w14:textId="64883A4B" w:rsidR="00691468" w:rsidRPr="007841A9" w:rsidRDefault="00691468" w:rsidP="00691468">
      <w:pPr>
        <w:pStyle w:val="Titre3"/>
        <w:widowControl/>
      </w:pPr>
      <w:r w:rsidRPr="007841A9">
        <w:t>Upon receipt of the Researcher’s response to the REB decision document, the REB follow</w:t>
      </w:r>
      <w:r w:rsidR="00923535" w:rsidRPr="007841A9">
        <w:t xml:space="preserve">s </w:t>
      </w:r>
      <w:r w:rsidRPr="007841A9">
        <w:t xml:space="preserve">up with the Researcher and/or his/her staff to request any additional clarifications as </w:t>
      </w:r>
      <w:proofErr w:type="gramStart"/>
      <w:r w:rsidRPr="007841A9">
        <w:t>needed;</w:t>
      </w:r>
      <w:proofErr w:type="gramEnd"/>
    </w:p>
    <w:p w14:paraId="66323D83" w14:textId="7E33930B" w:rsidR="00691468" w:rsidRPr="007841A9" w:rsidRDefault="00691468" w:rsidP="00691468">
      <w:pPr>
        <w:pStyle w:val="Titre3"/>
        <w:widowControl/>
      </w:pPr>
      <w:r w:rsidRPr="007841A9">
        <w:t>Once all the REB conditions are satisfied, the REB issue</w:t>
      </w:r>
      <w:r w:rsidR="00923535" w:rsidRPr="007841A9">
        <w:t>s</w:t>
      </w:r>
      <w:r w:rsidRPr="007841A9">
        <w:t xml:space="preserve"> an approval document, together with any other attestation required from the REB (REBA,</w:t>
      </w:r>
      <w:r w:rsidR="00E71EE7" w:rsidRPr="007841A9" w:rsidDel="00E71EE7">
        <w:t xml:space="preserve"> </w:t>
      </w:r>
      <w:r w:rsidRPr="007841A9">
        <w:t>FWA, CTSU, etc.).</w:t>
      </w:r>
    </w:p>
    <w:p w14:paraId="306EA567" w14:textId="77777777" w:rsidR="00756C58" w:rsidRPr="007841A9" w:rsidRDefault="002E18ED" w:rsidP="00691468">
      <w:pPr>
        <w:pStyle w:val="Titre1"/>
        <w:widowControl/>
      </w:pPr>
      <w:bookmarkStart w:id="6" w:name="_Toc151318862"/>
      <w:r w:rsidRPr="007841A9">
        <w:t>R</w:t>
      </w:r>
      <w:r w:rsidR="00756C58" w:rsidRPr="007841A9">
        <w:t>eferences</w:t>
      </w:r>
      <w:bookmarkEnd w:id="6"/>
    </w:p>
    <w:p w14:paraId="1FCC3FF4" w14:textId="77777777" w:rsidR="00756C58" w:rsidRPr="007841A9" w:rsidRDefault="00A313CE" w:rsidP="00691468">
      <w:r w:rsidRPr="007841A9">
        <w:t>See footnotes.</w:t>
      </w:r>
    </w:p>
    <w:p w14:paraId="79BE3DD1" w14:textId="77777777" w:rsidR="00756C58" w:rsidRPr="007841A9" w:rsidRDefault="002E18ED" w:rsidP="00691468">
      <w:pPr>
        <w:pStyle w:val="Titre1"/>
        <w:widowControl/>
      </w:pPr>
      <w:bookmarkStart w:id="7" w:name="_Toc151318863"/>
      <w:r w:rsidRPr="007841A9">
        <w:t>R</w:t>
      </w:r>
      <w:r w:rsidR="00756C58" w:rsidRPr="007841A9">
        <w:t>evision History</w:t>
      </w:r>
      <w:bookmarkEnd w:id="7"/>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7841A9" w14:paraId="0FB4A2E4" w14:textId="77777777" w:rsidTr="0030704D">
        <w:tc>
          <w:tcPr>
            <w:tcW w:w="2297" w:type="dxa"/>
            <w:tcBorders>
              <w:right w:val="single" w:sz="4" w:space="0" w:color="auto"/>
            </w:tcBorders>
            <w:shd w:val="clear" w:color="auto" w:fill="auto"/>
            <w:vAlign w:val="center"/>
          </w:tcPr>
          <w:p w14:paraId="12567463" w14:textId="77777777" w:rsidR="00756C58" w:rsidRPr="007841A9" w:rsidRDefault="00756C58" w:rsidP="00691468">
            <w:pPr>
              <w:spacing w:before="0" w:after="0"/>
              <w:jc w:val="center"/>
              <w:rPr>
                <w:rFonts w:eastAsia="Calibri"/>
                <w:b/>
              </w:rPr>
            </w:pPr>
            <w:r w:rsidRPr="007841A9">
              <w:rPr>
                <w:rFonts w:eastAsia="Calibri"/>
                <w:b/>
              </w:rPr>
              <w:t>SOP Code</w:t>
            </w:r>
          </w:p>
        </w:tc>
        <w:tc>
          <w:tcPr>
            <w:tcW w:w="1559" w:type="dxa"/>
            <w:tcBorders>
              <w:left w:val="single" w:sz="4" w:space="0" w:color="auto"/>
              <w:right w:val="single" w:sz="4" w:space="0" w:color="auto"/>
            </w:tcBorders>
            <w:shd w:val="clear" w:color="auto" w:fill="auto"/>
            <w:vAlign w:val="center"/>
          </w:tcPr>
          <w:p w14:paraId="19BBBE61" w14:textId="77777777" w:rsidR="00756C58" w:rsidRPr="007841A9" w:rsidRDefault="00756C58" w:rsidP="00691468">
            <w:pPr>
              <w:spacing w:before="0" w:after="0"/>
              <w:jc w:val="center"/>
              <w:rPr>
                <w:rFonts w:eastAsia="Calibri"/>
                <w:b/>
              </w:rPr>
            </w:pPr>
            <w:r w:rsidRPr="007841A9">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2833C7F" w14:textId="77777777" w:rsidR="00756C58" w:rsidRPr="007841A9" w:rsidRDefault="00756C58" w:rsidP="00691468">
            <w:pPr>
              <w:spacing w:before="0" w:after="0"/>
              <w:jc w:val="left"/>
              <w:rPr>
                <w:rFonts w:eastAsia="Calibri"/>
                <w:b/>
              </w:rPr>
            </w:pPr>
            <w:r w:rsidRPr="007841A9">
              <w:rPr>
                <w:rFonts w:eastAsia="Calibri"/>
                <w:b/>
              </w:rPr>
              <w:t>Summary of Changes</w:t>
            </w:r>
          </w:p>
        </w:tc>
      </w:tr>
      <w:tr w:rsidR="00756C58" w:rsidRPr="007841A9" w14:paraId="7C196B2F" w14:textId="77777777" w:rsidTr="0030704D">
        <w:tc>
          <w:tcPr>
            <w:tcW w:w="2297" w:type="dxa"/>
            <w:tcBorders>
              <w:right w:val="single" w:sz="4" w:space="0" w:color="auto"/>
            </w:tcBorders>
            <w:shd w:val="clear" w:color="auto" w:fill="auto"/>
            <w:vAlign w:val="center"/>
          </w:tcPr>
          <w:p w14:paraId="1FD9B4A2" w14:textId="0B42EDCA" w:rsidR="00756C58" w:rsidRPr="007841A9" w:rsidRDefault="00756C58" w:rsidP="00691468">
            <w:pPr>
              <w:spacing w:before="0" w:after="0"/>
              <w:jc w:val="left"/>
              <w:rPr>
                <w:rFonts w:eastAsia="Calibri" w:cs="Arial"/>
              </w:rPr>
            </w:pPr>
            <w:r w:rsidRPr="007841A9">
              <w:rPr>
                <w:rFonts w:eastAsia="Calibri"/>
              </w:rPr>
              <w:t>REB</w:t>
            </w:r>
            <w:r w:rsidR="00660163" w:rsidRPr="007841A9">
              <w:rPr>
                <w:rFonts w:eastAsia="Calibri"/>
              </w:rPr>
              <w:t>-</w:t>
            </w:r>
            <w:r w:rsidR="00691468" w:rsidRPr="007841A9">
              <w:rPr>
                <w:rFonts w:eastAsia="Calibri"/>
              </w:rPr>
              <w:t>SOP 409</w:t>
            </w:r>
            <w:r w:rsidR="0090228C" w:rsidRPr="007841A9">
              <w:rPr>
                <w:rFonts w:eastAsia="Calibri"/>
              </w:rPr>
              <w:t>-</w:t>
            </w:r>
            <w:r w:rsidR="00691468" w:rsidRPr="007841A9">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F38057" w14:textId="695C2C5B" w:rsidR="00756C58" w:rsidRPr="007841A9" w:rsidRDefault="0090228C" w:rsidP="00691468">
            <w:pPr>
              <w:spacing w:before="0" w:after="0"/>
              <w:jc w:val="center"/>
              <w:rPr>
                <w:rFonts w:eastAsia="Calibri"/>
              </w:rPr>
            </w:pPr>
            <w:r w:rsidRPr="007841A9">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18F937A" w14:textId="77777777" w:rsidR="00756C58" w:rsidRPr="007841A9" w:rsidRDefault="00756C58" w:rsidP="00691468">
            <w:pPr>
              <w:spacing w:before="0" w:after="0"/>
              <w:jc w:val="left"/>
              <w:rPr>
                <w:rFonts w:eastAsia="Calibri"/>
              </w:rPr>
            </w:pPr>
            <w:r w:rsidRPr="007841A9">
              <w:rPr>
                <w:rFonts w:eastAsia="Calibri"/>
              </w:rPr>
              <w:t xml:space="preserve">Original </w:t>
            </w:r>
            <w:r w:rsidR="00B43B4B" w:rsidRPr="007841A9">
              <w:rPr>
                <w:rFonts w:eastAsia="Calibri"/>
              </w:rPr>
              <w:t>v</w:t>
            </w:r>
            <w:r w:rsidRPr="007841A9">
              <w:rPr>
                <w:rFonts w:eastAsia="Calibri"/>
              </w:rPr>
              <w:t>ersion</w:t>
            </w:r>
          </w:p>
        </w:tc>
      </w:tr>
      <w:tr w:rsidR="00756C58" w:rsidRPr="007841A9" w14:paraId="440AD7AE" w14:textId="77777777" w:rsidTr="0030704D">
        <w:tc>
          <w:tcPr>
            <w:tcW w:w="2297" w:type="dxa"/>
            <w:tcBorders>
              <w:right w:val="single" w:sz="4" w:space="0" w:color="auto"/>
            </w:tcBorders>
            <w:shd w:val="clear" w:color="auto" w:fill="auto"/>
            <w:vAlign w:val="center"/>
          </w:tcPr>
          <w:p w14:paraId="7631EF4B" w14:textId="6BD0ECCC" w:rsidR="00756C58" w:rsidRPr="007841A9" w:rsidRDefault="0090228C" w:rsidP="00691468">
            <w:pPr>
              <w:spacing w:before="0" w:after="0"/>
              <w:jc w:val="left"/>
              <w:rPr>
                <w:rFonts w:eastAsia="Calibri"/>
              </w:rPr>
            </w:pPr>
            <w:r w:rsidRPr="007841A9">
              <w:rPr>
                <w:rFonts w:eastAsia="Calibri"/>
              </w:rPr>
              <w:t>REB-SOP 601-002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B61A56" w14:textId="2C42F67B" w:rsidR="00756C58" w:rsidRPr="007841A9" w:rsidRDefault="0090228C" w:rsidP="00691468">
            <w:pPr>
              <w:spacing w:before="0" w:after="0"/>
              <w:jc w:val="center"/>
              <w:rPr>
                <w:rFonts w:eastAsia="Calibri"/>
              </w:rPr>
            </w:pPr>
            <w:r w:rsidRPr="007841A9">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620BDE8" w14:textId="77777777" w:rsidR="00756C58" w:rsidRPr="007841A9" w:rsidRDefault="0090228C" w:rsidP="00691468">
            <w:pPr>
              <w:spacing w:before="0" w:after="0"/>
              <w:jc w:val="left"/>
              <w:rPr>
                <w:rFonts w:eastAsia="Calibri"/>
              </w:rPr>
            </w:pPr>
            <w:r w:rsidRPr="007841A9">
              <w:rPr>
                <w:rFonts w:eastAsia="Calibri"/>
              </w:rPr>
              <w:t xml:space="preserve">Updated in line with regulations in </w:t>
            </w:r>
            <w:proofErr w:type="gramStart"/>
            <w:r w:rsidRPr="007841A9">
              <w:rPr>
                <w:rFonts w:eastAsia="Calibri"/>
              </w:rPr>
              <w:t>effect</w:t>
            </w:r>
            <w:proofErr w:type="gramEnd"/>
          </w:p>
          <w:p w14:paraId="091D4C75" w14:textId="65F11AD2" w:rsidR="0090228C" w:rsidRPr="007841A9" w:rsidRDefault="0090228C" w:rsidP="00691468">
            <w:pPr>
              <w:spacing w:before="0" w:after="0"/>
              <w:jc w:val="left"/>
              <w:rPr>
                <w:rFonts w:eastAsia="Calibri"/>
              </w:rPr>
            </w:pPr>
            <w:r w:rsidRPr="007841A9">
              <w:rPr>
                <w:rFonts w:eastAsia="Calibri"/>
              </w:rPr>
              <w:t>Updated references</w:t>
            </w:r>
          </w:p>
        </w:tc>
      </w:tr>
      <w:tr w:rsidR="00756C58" w:rsidRPr="007841A9" w14:paraId="74742202" w14:textId="77777777" w:rsidTr="0030704D">
        <w:tc>
          <w:tcPr>
            <w:tcW w:w="2297" w:type="dxa"/>
            <w:tcBorders>
              <w:right w:val="single" w:sz="4" w:space="0" w:color="auto"/>
            </w:tcBorders>
            <w:shd w:val="clear" w:color="auto" w:fill="auto"/>
            <w:vAlign w:val="center"/>
          </w:tcPr>
          <w:p w14:paraId="6F010A5F" w14:textId="77777777" w:rsidR="00756C58" w:rsidRPr="007841A9" w:rsidRDefault="00756C58" w:rsidP="00691468">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15F7C863" w14:textId="77777777" w:rsidR="00756C58" w:rsidRPr="007841A9" w:rsidRDefault="00756C58" w:rsidP="00691468">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DCF4AC4" w14:textId="77777777" w:rsidR="00756C58" w:rsidRPr="007841A9" w:rsidRDefault="00756C58" w:rsidP="00691468">
            <w:pPr>
              <w:spacing w:before="0" w:after="0"/>
              <w:jc w:val="left"/>
              <w:rPr>
                <w:rFonts w:eastAsia="Calibri"/>
              </w:rPr>
            </w:pPr>
          </w:p>
        </w:tc>
      </w:tr>
    </w:tbl>
    <w:p w14:paraId="26499AA4" w14:textId="77777777" w:rsidR="00756C58" w:rsidRPr="007841A9" w:rsidRDefault="002E18ED" w:rsidP="00691468">
      <w:pPr>
        <w:pStyle w:val="Titre1"/>
        <w:widowControl/>
      </w:pPr>
      <w:bookmarkStart w:id="8" w:name="_Toc151318864"/>
      <w:r w:rsidRPr="007841A9">
        <w:t>Appendices</w:t>
      </w:r>
      <w:bookmarkEnd w:id="8"/>
    </w:p>
    <w:p w14:paraId="70BE5F6A" w14:textId="77777777" w:rsidR="00756C58" w:rsidRPr="007841A9" w:rsidRDefault="00756C58" w:rsidP="00691468"/>
    <w:sectPr w:rsidR="00756C58" w:rsidRPr="007841A9"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5811" w14:textId="77777777" w:rsidR="00720005" w:rsidRDefault="00720005" w:rsidP="0030269A">
      <w:pPr>
        <w:spacing w:before="0" w:after="0"/>
      </w:pPr>
      <w:r>
        <w:separator/>
      </w:r>
    </w:p>
  </w:endnote>
  <w:endnote w:type="continuationSeparator" w:id="0">
    <w:p w14:paraId="7EF591FD" w14:textId="77777777" w:rsidR="00720005" w:rsidRDefault="00720005"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EC35" w14:textId="77777777" w:rsidR="002E18ED" w:rsidRPr="00627E38" w:rsidRDefault="002E18ED" w:rsidP="002E18ED">
    <w:pPr>
      <w:pStyle w:val="Pieddepage"/>
      <w:pBdr>
        <w:bottom w:val="single" w:sz="4" w:space="1" w:color="auto"/>
      </w:pBdr>
      <w:rPr>
        <w:sz w:val="20"/>
        <w:szCs w:val="20"/>
      </w:rPr>
    </w:pPr>
  </w:p>
  <w:p w14:paraId="21B276C3" w14:textId="35B2FAAD"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0C2D23">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D3EB" w14:textId="77777777" w:rsidR="00720005" w:rsidRDefault="00720005" w:rsidP="0030269A">
      <w:pPr>
        <w:spacing w:before="0" w:after="0"/>
      </w:pPr>
      <w:r>
        <w:separator/>
      </w:r>
    </w:p>
  </w:footnote>
  <w:footnote w:type="continuationSeparator" w:id="0">
    <w:p w14:paraId="2ED7F9D1" w14:textId="77777777" w:rsidR="00720005" w:rsidRDefault="00720005" w:rsidP="0030269A">
      <w:pPr>
        <w:spacing w:before="0" w:after="0"/>
      </w:pPr>
      <w:r>
        <w:continuationSeparator/>
      </w:r>
    </w:p>
  </w:footnote>
  <w:footnote w:id="1">
    <w:p w14:paraId="70898548" w14:textId="27BF9903" w:rsidR="00691468" w:rsidRPr="00FC314C" w:rsidRDefault="00691468" w:rsidP="00133680">
      <w:pPr>
        <w:pStyle w:val="Notedebasdepage"/>
      </w:pPr>
      <w:r w:rsidRPr="00403862">
        <w:rPr>
          <w:rStyle w:val="Appelnotedebasdep"/>
          <w:rFonts w:cs="Calibri"/>
        </w:rPr>
        <w:footnoteRef/>
      </w:r>
      <w:r w:rsidRPr="00FC314C">
        <w:rPr>
          <w:rFonts w:cs="Calibri"/>
        </w:rPr>
        <w:t xml:space="preserve"> </w:t>
      </w:r>
      <w:r w:rsidRPr="00FC314C">
        <w:rPr>
          <w:rFonts w:cs="Calibri"/>
        </w:rPr>
        <w:tab/>
      </w:r>
      <w:r w:rsidRPr="00FC314C">
        <w:t xml:space="preserve">Operational Guidelines for Ethics Committees that Review Biomedical Research, World Health Organization (WHO), 2000, hereafter “TDR”, s. </w:t>
      </w:r>
      <w:r w:rsidRPr="00FC314C">
        <w:rPr>
          <w:rFonts w:cs="Calibri"/>
        </w:rPr>
        <w:t xml:space="preserve">8; </w:t>
      </w:r>
      <w:r w:rsidRPr="00FC314C">
        <w:t xml:space="preserve">Canadian Institutes of Health Research, Natural Sciences and Engineering Research Council of Canada, and Social Sciences and Humanities Research Council of Canada, Tri-Council Policy Statement: Ethical Conduct for Research Involving Humans, </w:t>
      </w:r>
      <w:r w:rsidR="00B3586D">
        <w:t>December</w:t>
      </w:r>
      <w:r w:rsidR="000C2D23">
        <w:t xml:space="preserve"> 2018</w:t>
      </w:r>
      <w:r w:rsidRPr="00FC314C">
        <w:rPr>
          <w:rFonts w:cs="Calibri"/>
        </w:rPr>
        <w:t xml:space="preserve">, </w:t>
      </w:r>
      <w:r w:rsidR="000C2D23">
        <w:rPr>
          <w:rFonts w:cs="Calibri"/>
        </w:rPr>
        <w:t xml:space="preserve">hereafter “TCPS2”, </w:t>
      </w:r>
      <w:r w:rsidRPr="00FC314C">
        <w:rPr>
          <w:rFonts w:cs="Calibri"/>
        </w:rPr>
        <w:t>art. 6.13.</w:t>
      </w:r>
    </w:p>
  </w:footnote>
  <w:footnote w:id="2">
    <w:p w14:paraId="16FCC028" w14:textId="7F7C35B2" w:rsidR="00691468" w:rsidRPr="00691468" w:rsidRDefault="00691468" w:rsidP="00133680">
      <w:pPr>
        <w:pStyle w:val="Notedebasdepage"/>
        <w:rPr>
          <w:lang w:val="fr-CA"/>
        </w:rPr>
      </w:pPr>
      <w:r w:rsidRPr="00403862">
        <w:rPr>
          <w:rStyle w:val="Appelnotedebasdep"/>
          <w:rFonts w:cs="Calibri"/>
        </w:rPr>
        <w:footnoteRef/>
      </w:r>
      <w:r w:rsidRPr="00691468">
        <w:rPr>
          <w:rFonts w:cs="Calibri"/>
          <w:lang w:val="fr-CA"/>
        </w:rPr>
        <w:t xml:space="preserve"> </w:t>
      </w:r>
      <w:r w:rsidRPr="00691468">
        <w:rPr>
          <w:rFonts w:cs="Calibri"/>
          <w:lang w:val="fr-CA"/>
        </w:rPr>
        <w:tab/>
      </w:r>
      <w:r w:rsidR="000C2D23">
        <w:t>Within two weeks’ time of the meeting at which the decision was made</w:t>
      </w:r>
      <w:r w:rsidR="000C2D23">
        <w:rPr>
          <w:rFonts w:cs="Calibri"/>
          <w:iCs/>
          <w:lang w:val="fr-CA"/>
        </w:rPr>
        <w:t>: TDR, s. 8</w:t>
      </w:r>
      <w:r w:rsidRPr="00691468">
        <w:rPr>
          <w:rFonts w:cs="Calibri"/>
          <w:lang w:val="fr-CA"/>
        </w:rPr>
        <w:t>.</w:t>
      </w:r>
    </w:p>
  </w:footnote>
  <w:footnote w:id="3">
    <w:p w14:paraId="79648290" w14:textId="5758B857" w:rsidR="00691468" w:rsidRPr="00691468" w:rsidRDefault="00691468" w:rsidP="00691468">
      <w:pPr>
        <w:pStyle w:val="Notedebasdepage"/>
        <w:ind w:left="270" w:hanging="270"/>
        <w:jc w:val="left"/>
        <w:rPr>
          <w:lang w:val="fr-CA"/>
        </w:rPr>
      </w:pPr>
      <w:r w:rsidRPr="00403862">
        <w:rPr>
          <w:rStyle w:val="Appelnotedebasdep"/>
          <w:rFonts w:cs="Calibri"/>
        </w:rPr>
        <w:footnoteRef/>
      </w:r>
      <w:r w:rsidRPr="00691468">
        <w:rPr>
          <w:rFonts w:cs="Calibri"/>
          <w:lang w:val="fr-CA"/>
        </w:rPr>
        <w:t xml:space="preserve"> </w:t>
      </w:r>
      <w:r w:rsidRPr="00691468">
        <w:rPr>
          <w:rFonts w:cs="Calibri"/>
          <w:lang w:val="fr-CA"/>
        </w:rPr>
        <w:tab/>
      </w:r>
      <w:r w:rsidRPr="00691468">
        <w:rPr>
          <w:rFonts w:cs="Calibri"/>
          <w:i/>
          <w:lang w:val="fr-CA"/>
        </w:rPr>
        <w:t>Ministère de la Santé et des Services sociaux, Cadre de référence pour l’examen éthique des projets de recherche multicentrique</w:t>
      </w:r>
      <w:r w:rsidRPr="00691468">
        <w:rPr>
          <w:rFonts w:cs="Calibri"/>
          <w:lang w:val="fr-CA"/>
        </w:rPr>
        <w:t>, April 2016</w:t>
      </w:r>
      <w:r w:rsidR="0090228C">
        <w:rPr>
          <w:rFonts w:cs="Calibri"/>
          <w:lang w:val="fr-CA"/>
        </w:rPr>
        <w:t>, art. 8.5</w:t>
      </w:r>
      <w:r w:rsidRPr="00691468">
        <w:rPr>
          <w:rFonts w:cs="Calibri"/>
          <w:lang w:val="fr-CA"/>
        </w:rPr>
        <w:t>.</w:t>
      </w:r>
    </w:p>
  </w:footnote>
  <w:footnote w:id="4">
    <w:p w14:paraId="1FF1CBD2" w14:textId="330ABE37" w:rsidR="00691468" w:rsidRPr="00FC314C" w:rsidRDefault="00691468" w:rsidP="00691468">
      <w:pPr>
        <w:pStyle w:val="Notedebasdepage"/>
        <w:ind w:left="270" w:hanging="270"/>
        <w:jc w:val="left"/>
      </w:pPr>
      <w:r w:rsidRPr="00403862">
        <w:rPr>
          <w:rStyle w:val="Appelnotedebasdep"/>
          <w:rFonts w:cs="Calibri"/>
        </w:rPr>
        <w:footnoteRef/>
      </w:r>
      <w:r w:rsidRPr="0071793D">
        <w:rPr>
          <w:rFonts w:cs="Calibri"/>
          <w:lang w:val="en-US"/>
        </w:rPr>
        <w:t xml:space="preserve"> </w:t>
      </w:r>
      <w:r w:rsidRPr="0071793D">
        <w:rPr>
          <w:rFonts w:cs="Calibri"/>
          <w:lang w:val="en-US"/>
        </w:rPr>
        <w:tab/>
        <w:t>TDR, s. </w:t>
      </w:r>
      <w:r w:rsidRPr="00FC314C">
        <w:rPr>
          <w:rFonts w:cs="Calibri"/>
        </w:rPr>
        <w:t xml:space="preserve">6 and 8; TCPS2, art. 6.13; </w:t>
      </w:r>
      <w:r w:rsidR="0090228C">
        <w:t>Guidance Document:</w:t>
      </w:r>
      <w:r w:rsidRPr="00FC314C">
        <w:t xml:space="preserve"> Good Clinical Practice</w:t>
      </w:r>
      <w:r w:rsidR="0090228C">
        <w:t>: Integrated Addendum to</w:t>
      </w:r>
      <w:r w:rsidRPr="00FC314C">
        <w:t xml:space="preserve"> E6(R1)</w:t>
      </w:r>
      <w:r w:rsidR="0090228C">
        <w:t xml:space="preserve"> ICH Topic E6(R2)</w:t>
      </w:r>
      <w:r w:rsidRPr="00FC314C">
        <w:t xml:space="preserve">, Health </w:t>
      </w:r>
      <w:smartTag w:uri="urn:schemas-microsoft-com:office:smarttags" w:element="place">
        <w:smartTag w:uri="urn:schemas-microsoft-com:office:smarttags" w:element="country-region">
          <w:r w:rsidRPr="00FC314C">
            <w:t>Canada</w:t>
          </w:r>
        </w:smartTag>
      </w:smartTag>
      <w:r w:rsidRPr="00FC314C">
        <w:t xml:space="preserve">, </w:t>
      </w:r>
      <w:r w:rsidR="0090228C">
        <w:t>April 2019</w:t>
      </w:r>
      <w:r w:rsidRPr="00FC314C">
        <w:t xml:space="preserve">, </w:t>
      </w:r>
      <w:r w:rsidRPr="00FC314C">
        <w:rPr>
          <w:rFonts w:cs="Calibri"/>
        </w:rPr>
        <w:t>s. </w:t>
      </w:r>
      <w:r w:rsidR="0090228C">
        <w:rPr>
          <w:rFonts w:cs="Calibri"/>
        </w:rPr>
        <w:t>3.1.2</w:t>
      </w:r>
      <w:r w:rsidRPr="00FC314C">
        <w:rPr>
          <w:rFonts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A523"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51212815" w14:textId="77777777" w:rsidTr="58B8826E">
      <w:trPr>
        <w:trHeight w:val="567"/>
      </w:trPr>
      <w:tc>
        <w:tcPr>
          <w:tcW w:w="4957" w:type="dxa"/>
          <w:vMerge w:val="restart"/>
          <w:tcBorders>
            <w:right w:val="single" w:sz="4" w:space="0" w:color="auto"/>
          </w:tcBorders>
          <w:shd w:val="clear" w:color="auto" w:fill="auto"/>
          <w:vAlign w:val="center"/>
        </w:tcPr>
        <w:p w14:paraId="6CF30D39" w14:textId="6A0B516C"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34F37EC" w14:textId="64B04355" w:rsidR="0030269A" w:rsidRPr="00D0004E" w:rsidRDefault="58B8826E" w:rsidP="58B8826E">
          <w:pPr>
            <w:spacing w:before="0" w:after="0"/>
            <w:jc w:val="right"/>
            <w:rPr>
              <w:sz w:val="32"/>
              <w:szCs w:val="32"/>
              <w:lang w:val="en-US"/>
            </w:rPr>
          </w:pPr>
          <w:r w:rsidRPr="58B8826E">
            <w:rPr>
              <w:sz w:val="32"/>
              <w:szCs w:val="32"/>
              <w:lang w:val="en-US"/>
            </w:rPr>
            <w:t>REB-</w:t>
          </w:r>
          <w:r w:rsidR="00691468">
            <w:rPr>
              <w:sz w:val="32"/>
              <w:szCs w:val="32"/>
              <w:lang w:val="en-US"/>
            </w:rPr>
            <w:t xml:space="preserve">SOP </w:t>
          </w:r>
          <w:r w:rsidR="000C2D23">
            <w:rPr>
              <w:sz w:val="32"/>
              <w:szCs w:val="32"/>
              <w:lang w:val="en-US"/>
            </w:rPr>
            <w:t>601-002</w:t>
          </w:r>
        </w:p>
      </w:tc>
    </w:tr>
    <w:tr w:rsidR="0030269A" w:rsidRPr="005A11F5" w14:paraId="7BB203AF" w14:textId="77777777" w:rsidTr="58B8826E">
      <w:trPr>
        <w:trHeight w:val="567"/>
      </w:trPr>
      <w:tc>
        <w:tcPr>
          <w:tcW w:w="4957" w:type="dxa"/>
          <w:vMerge/>
        </w:tcPr>
        <w:p w14:paraId="000B952F"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5766E099" w14:textId="77777777" w:rsidR="0030269A" w:rsidRPr="002F7EC5" w:rsidRDefault="0030269A" w:rsidP="0030269A">
          <w:pPr>
            <w:spacing w:before="0" w:after="0"/>
            <w:jc w:val="right"/>
            <w:rPr>
              <w:lang w:val="en-US"/>
            </w:rPr>
          </w:pPr>
          <w:r w:rsidRPr="002F7EC5">
            <w:rPr>
              <w:lang w:val="en-US"/>
            </w:rPr>
            <w:t>Research Ethics Board</w:t>
          </w:r>
        </w:p>
        <w:p w14:paraId="20C33416" w14:textId="77777777" w:rsidR="0030269A" w:rsidRPr="002F7EC5" w:rsidRDefault="0030269A" w:rsidP="0030269A">
          <w:pPr>
            <w:spacing w:before="0" w:after="0"/>
            <w:jc w:val="right"/>
            <w:rPr>
              <w:lang w:val="en-US"/>
            </w:rPr>
          </w:pPr>
          <w:r w:rsidRPr="002F7EC5">
            <w:rPr>
              <w:lang w:val="en-US"/>
            </w:rPr>
            <w:t>Standard Operating Procedure</w:t>
          </w:r>
        </w:p>
      </w:tc>
    </w:tr>
  </w:tbl>
  <w:p w14:paraId="77444CA7" w14:textId="77777777" w:rsidR="0030269A" w:rsidRPr="002F7EC5" w:rsidRDefault="0030269A" w:rsidP="0030269A">
    <w:pPr>
      <w:pStyle w:val="En-tte"/>
      <w:rPr>
        <w:lang w:val="en-US"/>
      </w:rPr>
    </w:pPr>
  </w:p>
  <w:p w14:paraId="123D9B15"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56E1E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A6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62B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32D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DE86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52316798">
    <w:abstractNumId w:val="14"/>
  </w:num>
  <w:num w:numId="2" w16cid:durableId="503253269">
    <w:abstractNumId w:val="19"/>
  </w:num>
  <w:num w:numId="3" w16cid:durableId="848787709">
    <w:abstractNumId w:val="22"/>
  </w:num>
  <w:num w:numId="4" w16cid:durableId="786002327">
    <w:abstractNumId w:val="4"/>
  </w:num>
  <w:num w:numId="5" w16cid:durableId="164518828">
    <w:abstractNumId w:val="5"/>
  </w:num>
  <w:num w:numId="6" w16cid:durableId="359864483">
    <w:abstractNumId w:val="6"/>
  </w:num>
  <w:num w:numId="7" w16cid:durableId="477917749">
    <w:abstractNumId w:val="7"/>
  </w:num>
  <w:num w:numId="8" w16cid:durableId="692650722">
    <w:abstractNumId w:val="9"/>
  </w:num>
  <w:num w:numId="9" w16cid:durableId="1592735412">
    <w:abstractNumId w:val="0"/>
  </w:num>
  <w:num w:numId="10" w16cid:durableId="988679146">
    <w:abstractNumId w:val="1"/>
  </w:num>
  <w:num w:numId="11" w16cid:durableId="64304550">
    <w:abstractNumId w:val="2"/>
  </w:num>
  <w:num w:numId="12" w16cid:durableId="511527434">
    <w:abstractNumId w:val="3"/>
  </w:num>
  <w:num w:numId="13" w16cid:durableId="808668187">
    <w:abstractNumId w:val="8"/>
  </w:num>
  <w:num w:numId="14" w16cid:durableId="2094737602">
    <w:abstractNumId w:val="18"/>
  </w:num>
  <w:num w:numId="15" w16cid:durableId="1591045398">
    <w:abstractNumId w:val="17"/>
  </w:num>
  <w:num w:numId="16" w16cid:durableId="1486625938">
    <w:abstractNumId w:val="11"/>
  </w:num>
  <w:num w:numId="17" w16cid:durableId="1444613331">
    <w:abstractNumId w:val="10"/>
  </w:num>
  <w:num w:numId="18" w16cid:durableId="1317026889">
    <w:abstractNumId w:val="21"/>
  </w:num>
  <w:num w:numId="19" w16cid:durableId="774590806">
    <w:abstractNumId w:val="15"/>
  </w:num>
  <w:num w:numId="20" w16cid:durableId="272055230">
    <w:abstractNumId w:val="13"/>
  </w:num>
  <w:num w:numId="21" w16cid:durableId="612437914">
    <w:abstractNumId w:val="12"/>
  </w:num>
  <w:num w:numId="22" w16cid:durableId="162865850">
    <w:abstractNumId w:val="20"/>
  </w:num>
  <w:num w:numId="23" w16cid:durableId="22757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7A"/>
    <w:rsid w:val="00012A3D"/>
    <w:rsid w:val="0002610A"/>
    <w:rsid w:val="00043BD5"/>
    <w:rsid w:val="000731F7"/>
    <w:rsid w:val="000C2D23"/>
    <w:rsid w:val="00133680"/>
    <w:rsid w:val="00147D9D"/>
    <w:rsid w:val="001509CB"/>
    <w:rsid w:val="001F3F8C"/>
    <w:rsid w:val="00226DCF"/>
    <w:rsid w:val="00272B2C"/>
    <w:rsid w:val="00283978"/>
    <w:rsid w:val="0028581A"/>
    <w:rsid w:val="002B331B"/>
    <w:rsid w:val="002B5BA5"/>
    <w:rsid w:val="002B5EA6"/>
    <w:rsid w:val="002E18ED"/>
    <w:rsid w:val="002E750D"/>
    <w:rsid w:val="0030269A"/>
    <w:rsid w:val="00302BF0"/>
    <w:rsid w:val="003113F6"/>
    <w:rsid w:val="0032222C"/>
    <w:rsid w:val="00381101"/>
    <w:rsid w:val="00381E3D"/>
    <w:rsid w:val="00386EA4"/>
    <w:rsid w:val="003E3582"/>
    <w:rsid w:val="00407B78"/>
    <w:rsid w:val="004374F7"/>
    <w:rsid w:val="00444D39"/>
    <w:rsid w:val="0049095C"/>
    <w:rsid w:val="00492F24"/>
    <w:rsid w:val="004C12D8"/>
    <w:rsid w:val="005375DE"/>
    <w:rsid w:val="00542A47"/>
    <w:rsid w:val="0059613B"/>
    <w:rsid w:val="005A11F5"/>
    <w:rsid w:val="00600772"/>
    <w:rsid w:val="00601C6C"/>
    <w:rsid w:val="00660163"/>
    <w:rsid w:val="006679F4"/>
    <w:rsid w:val="00691468"/>
    <w:rsid w:val="006A4376"/>
    <w:rsid w:val="006F0A12"/>
    <w:rsid w:val="00720005"/>
    <w:rsid w:val="00753239"/>
    <w:rsid w:val="00756C58"/>
    <w:rsid w:val="007841A9"/>
    <w:rsid w:val="00802F4C"/>
    <w:rsid w:val="00861AE8"/>
    <w:rsid w:val="008729A6"/>
    <w:rsid w:val="008A587F"/>
    <w:rsid w:val="008E5297"/>
    <w:rsid w:val="008F4B93"/>
    <w:rsid w:val="0090228C"/>
    <w:rsid w:val="00904FC2"/>
    <w:rsid w:val="00923535"/>
    <w:rsid w:val="0095337A"/>
    <w:rsid w:val="009754E0"/>
    <w:rsid w:val="00986A54"/>
    <w:rsid w:val="009A372A"/>
    <w:rsid w:val="00A26CA7"/>
    <w:rsid w:val="00A313CE"/>
    <w:rsid w:val="00A967C9"/>
    <w:rsid w:val="00B3586D"/>
    <w:rsid w:val="00B43B4B"/>
    <w:rsid w:val="00B66BD6"/>
    <w:rsid w:val="00B66EA8"/>
    <w:rsid w:val="00B923E6"/>
    <w:rsid w:val="00CE63B7"/>
    <w:rsid w:val="00D14E15"/>
    <w:rsid w:val="00DC2BA3"/>
    <w:rsid w:val="00E428CC"/>
    <w:rsid w:val="00E626AC"/>
    <w:rsid w:val="00E71EE7"/>
    <w:rsid w:val="00E74780"/>
    <w:rsid w:val="00E83DF3"/>
    <w:rsid w:val="00E87EBB"/>
    <w:rsid w:val="00EC101E"/>
    <w:rsid w:val="00EC34C7"/>
    <w:rsid w:val="00EC6FBF"/>
    <w:rsid w:val="00F443B2"/>
    <w:rsid w:val="00FC636C"/>
    <w:rsid w:val="00FD165B"/>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DEEAFD1"/>
  <w14:defaultImageDpi w14:val="32767"/>
  <w15:chartTrackingRefBased/>
  <w15:docId w15:val="{2E5A0FC9-3FAC-46EE-BC92-F9BE2E9F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8D94-E467-4761-92DA-65F50049DAC5}">
  <ds:schemaRefs>
    <ds:schemaRef ds:uri="http://schemas.microsoft.com/sharepoint/v3/contenttype/forms"/>
  </ds:schemaRefs>
</ds:datastoreItem>
</file>

<file path=customXml/itemProps2.xml><?xml version="1.0" encoding="utf-8"?>
<ds:datastoreItem xmlns:ds="http://schemas.openxmlformats.org/officeDocument/2006/customXml" ds:itemID="{E5D4362A-B786-4B71-8C3F-7CC3B4FC2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ABF03-52BF-467E-AF78-1D6D43E1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TotalTime>
  <Pages>3</Pages>
  <Words>626</Words>
  <Characters>3446</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2</cp:revision>
  <dcterms:created xsi:type="dcterms:W3CDTF">2023-12-13T19:49:00Z</dcterms:created>
  <dcterms:modified xsi:type="dcterms:W3CDTF">2023-12-13T19:49:00Z</dcterms:modified>
</cp:coreProperties>
</file>