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14B6" w14:textId="77777777" w:rsidR="0030269A" w:rsidRPr="00A0433C" w:rsidRDefault="0030269A" w:rsidP="00493135">
      <w:pPr>
        <w:spacing w:before="0" w:after="0"/>
      </w:pPr>
    </w:p>
    <w:tbl>
      <w:tblPr>
        <w:tblStyle w:val="Grilledutableau"/>
        <w:tblW w:w="0" w:type="auto"/>
        <w:tblLook w:val="04A0" w:firstRow="1" w:lastRow="0" w:firstColumn="1" w:lastColumn="0" w:noHBand="0" w:noVBand="1"/>
      </w:tblPr>
      <w:tblGrid>
        <w:gridCol w:w="3325"/>
        <w:gridCol w:w="6745"/>
      </w:tblGrid>
      <w:tr w:rsidR="0030269A" w:rsidRPr="00A0433C" w14:paraId="42428084" w14:textId="77777777" w:rsidTr="00012A3D">
        <w:tc>
          <w:tcPr>
            <w:tcW w:w="3325" w:type="dxa"/>
          </w:tcPr>
          <w:p w14:paraId="540161B5" w14:textId="77777777" w:rsidR="0030269A" w:rsidRPr="00A0433C" w:rsidRDefault="0030269A" w:rsidP="00493135">
            <w:pPr>
              <w:spacing w:before="60" w:after="60"/>
              <w:rPr>
                <w:b/>
              </w:rPr>
            </w:pPr>
            <w:r w:rsidRPr="00A0433C">
              <w:rPr>
                <w:b/>
              </w:rPr>
              <w:t>Title</w:t>
            </w:r>
          </w:p>
        </w:tc>
        <w:tc>
          <w:tcPr>
            <w:tcW w:w="6745" w:type="dxa"/>
          </w:tcPr>
          <w:p w14:paraId="540E438E" w14:textId="77777777" w:rsidR="0030269A" w:rsidRPr="00A0433C" w:rsidRDefault="00493135" w:rsidP="00493135">
            <w:pPr>
              <w:spacing w:before="60" w:after="60"/>
            </w:pPr>
            <w:r w:rsidRPr="00A0433C">
              <w:t>REB Review During Publicly Declared Emergencies</w:t>
            </w:r>
          </w:p>
        </w:tc>
      </w:tr>
      <w:tr w:rsidR="0030269A" w:rsidRPr="00A0433C" w14:paraId="519793A1" w14:textId="77777777" w:rsidTr="00012A3D">
        <w:tc>
          <w:tcPr>
            <w:tcW w:w="3325" w:type="dxa"/>
          </w:tcPr>
          <w:p w14:paraId="0C49314E" w14:textId="77777777" w:rsidR="0030269A" w:rsidRPr="00A0433C" w:rsidRDefault="58B8826E" w:rsidP="00493135">
            <w:pPr>
              <w:spacing w:before="60" w:after="60"/>
              <w:rPr>
                <w:b/>
                <w:bCs/>
              </w:rPr>
            </w:pPr>
            <w:r w:rsidRPr="00A0433C">
              <w:rPr>
                <w:b/>
                <w:bCs/>
              </w:rPr>
              <w:t>SOP Code</w:t>
            </w:r>
          </w:p>
        </w:tc>
        <w:tc>
          <w:tcPr>
            <w:tcW w:w="6745" w:type="dxa"/>
          </w:tcPr>
          <w:p w14:paraId="6EF53FA5" w14:textId="4A7432A0" w:rsidR="0030269A" w:rsidRPr="00A0433C" w:rsidRDefault="58B8826E" w:rsidP="00493135">
            <w:pPr>
              <w:spacing w:before="60" w:after="60"/>
            </w:pPr>
            <w:r w:rsidRPr="00A0433C">
              <w:t>REB</w:t>
            </w:r>
            <w:r w:rsidR="00660163" w:rsidRPr="00A0433C">
              <w:t>-</w:t>
            </w:r>
            <w:r w:rsidR="00493135" w:rsidRPr="00A0433C">
              <w:t>SOP 501</w:t>
            </w:r>
            <w:r w:rsidR="002D671D" w:rsidRPr="00A0433C">
              <w:t>-002</w:t>
            </w:r>
          </w:p>
        </w:tc>
      </w:tr>
      <w:tr w:rsidR="0030269A" w:rsidRPr="00A0433C" w14:paraId="7F8B6B91" w14:textId="77777777" w:rsidTr="00012A3D">
        <w:tc>
          <w:tcPr>
            <w:tcW w:w="3325" w:type="dxa"/>
          </w:tcPr>
          <w:p w14:paraId="3F07568A" w14:textId="77777777" w:rsidR="0030269A" w:rsidRPr="00A0433C" w:rsidRDefault="0030269A" w:rsidP="00493135">
            <w:pPr>
              <w:spacing w:before="60" w:after="60"/>
              <w:rPr>
                <w:b/>
              </w:rPr>
            </w:pPr>
            <w:r w:rsidRPr="00A0433C">
              <w:rPr>
                <w:b/>
              </w:rPr>
              <w:t>N2/CAREB SOP CODE</w:t>
            </w:r>
          </w:p>
        </w:tc>
        <w:tc>
          <w:tcPr>
            <w:tcW w:w="6745" w:type="dxa"/>
          </w:tcPr>
          <w:p w14:paraId="178FB7D0" w14:textId="66C6EF20" w:rsidR="0030269A" w:rsidRPr="00A0433C" w:rsidRDefault="00493135" w:rsidP="00493135">
            <w:pPr>
              <w:spacing w:before="60" w:after="60"/>
            </w:pPr>
            <w:r w:rsidRPr="00A0433C">
              <w:t>SOP 501</w:t>
            </w:r>
            <w:r w:rsidR="002D671D" w:rsidRPr="00A0433C">
              <w:t>-003</w:t>
            </w:r>
          </w:p>
        </w:tc>
      </w:tr>
      <w:tr w:rsidR="0030269A" w:rsidRPr="00A0433C" w14:paraId="643D1D3E" w14:textId="77777777" w:rsidTr="00012A3D">
        <w:tc>
          <w:tcPr>
            <w:tcW w:w="3325" w:type="dxa"/>
          </w:tcPr>
          <w:p w14:paraId="22AAA50B" w14:textId="77777777" w:rsidR="0030269A" w:rsidRPr="00A0433C" w:rsidRDefault="0030269A" w:rsidP="00493135">
            <w:pPr>
              <w:spacing w:before="60" w:after="60"/>
              <w:rPr>
                <w:b/>
              </w:rPr>
            </w:pPr>
            <w:r w:rsidRPr="00A0433C">
              <w:rPr>
                <w:b/>
              </w:rPr>
              <w:t>Effective Date</w:t>
            </w:r>
          </w:p>
        </w:tc>
        <w:tc>
          <w:tcPr>
            <w:tcW w:w="6745" w:type="dxa"/>
          </w:tcPr>
          <w:p w14:paraId="078A6B25" w14:textId="77777777" w:rsidR="0030269A" w:rsidRPr="00A0433C" w:rsidRDefault="0030269A" w:rsidP="00493135">
            <w:pPr>
              <w:spacing w:before="60" w:after="60"/>
            </w:pPr>
            <w:r w:rsidRPr="00A0433C">
              <w:rPr>
                <w:highlight w:val="yellow"/>
              </w:rPr>
              <w:t>YYYY-MM-DD</w:t>
            </w:r>
          </w:p>
        </w:tc>
      </w:tr>
    </w:tbl>
    <w:p w14:paraId="1797B336" w14:textId="77777777" w:rsidR="0030269A" w:rsidRPr="00A0433C" w:rsidRDefault="0030269A" w:rsidP="00493135"/>
    <w:tbl>
      <w:tblPr>
        <w:tblStyle w:val="Grilledutableau"/>
        <w:tblW w:w="0" w:type="auto"/>
        <w:tblLook w:val="04A0" w:firstRow="1" w:lastRow="0" w:firstColumn="1" w:lastColumn="0" w:noHBand="0" w:noVBand="1"/>
      </w:tblPr>
      <w:tblGrid>
        <w:gridCol w:w="3325"/>
        <w:gridCol w:w="4467"/>
        <w:gridCol w:w="2206"/>
      </w:tblGrid>
      <w:tr w:rsidR="0030269A" w:rsidRPr="00A0433C" w14:paraId="010AE169" w14:textId="77777777" w:rsidTr="00012A3D">
        <w:tc>
          <w:tcPr>
            <w:tcW w:w="3325" w:type="dxa"/>
            <w:shd w:val="clear" w:color="auto" w:fill="D9D9D9" w:themeFill="background1" w:themeFillShade="D9"/>
          </w:tcPr>
          <w:p w14:paraId="31C2D05F" w14:textId="77777777" w:rsidR="0030269A" w:rsidRPr="00A0433C" w:rsidRDefault="0030269A" w:rsidP="00493135">
            <w:pPr>
              <w:spacing w:before="60" w:after="60"/>
              <w:jc w:val="center"/>
              <w:rPr>
                <w:b/>
              </w:rPr>
            </w:pPr>
            <w:r w:rsidRPr="00A0433C">
              <w:rPr>
                <w:b/>
              </w:rPr>
              <w:t>Status</w:t>
            </w:r>
          </w:p>
        </w:tc>
        <w:tc>
          <w:tcPr>
            <w:tcW w:w="4467" w:type="dxa"/>
            <w:shd w:val="clear" w:color="auto" w:fill="D9D9D9" w:themeFill="background1" w:themeFillShade="D9"/>
          </w:tcPr>
          <w:p w14:paraId="19C0975E" w14:textId="77777777" w:rsidR="0030269A" w:rsidRPr="00A0433C" w:rsidRDefault="0030269A" w:rsidP="00493135">
            <w:pPr>
              <w:spacing w:before="60" w:after="60"/>
              <w:jc w:val="center"/>
              <w:rPr>
                <w:b/>
              </w:rPr>
            </w:pPr>
            <w:r w:rsidRPr="00A0433C">
              <w:rPr>
                <w:b/>
              </w:rPr>
              <w:t>Name and Title</w:t>
            </w:r>
          </w:p>
        </w:tc>
        <w:tc>
          <w:tcPr>
            <w:tcW w:w="2206" w:type="dxa"/>
            <w:shd w:val="clear" w:color="auto" w:fill="D9D9D9" w:themeFill="background1" w:themeFillShade="D9"/>
          </w:tcPr>
          <w:p w14:paraId="0C7BB63C" w14:textId="77777777" w:rsidR="0030269A" w:rsidRPr="00A0433C" w:rsidRDefault="0030269A" w:rsidP="00493135">
            <w:pPr>
              <w:spacing w:before="60" w:after="60"/>
              <w:jc w:val="center"/>
              <w:rPr>
                <w:b/>
              </w:rPr>
            </w:pPr>
            <w:r w:rsidRPr="00A0433C">
              <w:rPr>
                <w:b/>
              </w:rPr>
              <w:t>Date</w:t>
            </w:r>
          </w:p>
        </w:tc>
      </w:tr>
      <w:tr w:rsidR="0030269A" w:rsidRPr="00A0433C" w14:paraId="35118441" w14:textId="77777777" w:rsidTr="00012A3D">
        <w:tc>
          <w:tcPr>
            <w:tcW w:w="3325" w:type="dxa"/>
          </w:tcPr>
          <w:p w14:paraId="197622CF" w14:textId="77777777" w:rsidR="0030269A" w:rsidRPr="00A0433C" w:rsidRDefault="00012A3D" w:rsidP="00493135">
            <w:pPr>
              <w:spacing w:before="60" w:after="60"/>
              <w:jc w:val="left"/>
              <w:rPr>
                <w:b/>
                <w:i/>
                <w:highlight w:val="yellow"/>
              </w:rPr>
            </w:pPr>
            <w:r w:rsidRPr="00A0433C">
              <w:rPr>
                <w:b/>
                <w:i/>
              </w:rPr>
              <w:t>Author of Harmonized Template</w:t>
            </w:r>
          </w:p>
        </w:tc>
        <w:tc>
          <w:tcPr>
            <w:tcW w:w="4467" w:type="dxa"/>
          </w:tcPr>
          <w:p w14:paraId="64221260" w14:textId="75646874" w:rsidR="0030269A" w:rsidRPr="00A0433C" w:rsidRDefault="002D671D" w:rsidP="00493135">
            <w:pPr>
              <w:spacing w:before="60" w:after="60"/>
            </w:pPr>
            <w:r w:rsidRPr="00A0433C">
              <w:t xml:space="preserve">REB </w:t>
            </w:r>
            <w:r w:rsidR="00012A3D" w:rsidRPr="00A0433C">
              <w:t>SOPs</w:t>
            </w:r>
            <w:r w:rsidRPr="00A0433C">
              <w:t xml:space="preserve"> developed by CATALIS Network</w:t>
            </w:r>
          </w:p>
        </w:tc>
        <w:tc>
          <w:tcPr>
            <w:tcW w:w="2206" w:type="dxa"/>
          </w:tcPr>
          <w:p w14:paraId="0A27D48B" w14:textId="2808215A" w:rsidR="0030269A" w:rsidRPr="00A0433C" w:rsidRDefault="002D671D" w:rsidP="00493135">
            <w:pPr>
              <w:spacing w:before="60" w:after="60"/>
              <w:jc w:val="center"/>
            </w:pPr>
            <w:r w:rsidRPr="00A0433C">
              <w:t>2023-05-01</w:t>
            </w:r>
          </w:p>
        </w:tc>
      </w:tr>
      <w:tr w:rsidR="005A11F5" w:rsidRPr="00A0433C" w14:paraId="2BE7DCB8" w14:textId="77777777" w:rsidTr="00012A3D">
        <w:tc>
          <w:tcPr>
            <w:tcW w:w="3325" w:type="dxa"/>
          </w:tcPr>
          <w:p w14:paraId="7C0B8E72" w14:textId="77777777" w:rsidR="005A11F5" w:rsidRPr="00A0433C" w:rsidRDefault="005A11F5" w:rsidP="00493135">
            <w:pPr>
              <w:spacing w:before="60" w:after="60"/>
              <w:rPr>
                <w:b/>
                <w:i/>
                <w:highlight w:val="yellow"/>
              </w:rPr>
            </w:pPr>
            <w:r w:rsidRPr="00A0433C">
              <w:rPr>
                <w:b/>
                <w:i/>
              </w:rPr>
              <w:t>Approved</w:t>
            </w:r>
          </w:p>
        </w:tc>
        <w:tc>
          <w:tcPr>
            <w:tcW w:w="4467" w:type="dxa"/>
          </w:tcPr>
          <w:p w14:paraId="6264ADA3" w14:textId="77777777" w:rsidR="005A11F5" w:rsidRPr="00A0433C" w:rsidRDefault="008F4B93" w:rsidP="00493135">
            <w:pPr>
              <w:spacing w:before="60" w:after="60"/>
            </w:pPr>
            <w:r w:rsidRPr="00A0433C">
              <w:t>REB Full Board Meeting XXX</w:t>
            </w:r>
          </w:p>
        </w:tc>
        <w:tc>
          <w:tcPr>
            <w:tcW w:w="2206" w:type="dxa"/>
          </w:tcPr>
          <w:p w14:paraId="4B663ABA" w14:textId="77777777" w:rsidR="005A11F5" w:rsidRPr="00A0433C" w:rsidRDefault="005A11F5" w:rsidP="00493135">
            <w:pPr>
              <w:spacing w:before="60" w:after="60"/>
              <w:jc w:val="center"/>
            </w:pPr>
            <w:r w:rsidRPr="00A0433C">
              <w:t>YYYY-MM-DD</w:t>
            </w:r>
          </w:p>
        </w:tc>
      </w:tr>
      <w:tr w:rsidR="005A11F5" w:rsidRPr="00A0433C" w14:paraId="302AF4A9" w14:textId="77777777" w:rsidTr="00012A3D">
        <w:tc>
          <w:tcPr>
            <w:tcW w:w="3325" w:type="dxa"/>
          </w:tcPr>
          <w:p w14:paraId="790B4EF0" w14:textId="6A1468DC" w:rsidR="005A11F5" w:rsidRPr="00A0433C" w:rsidRDefault="002D671D" w:rsidP="00493135">
            <w:pPr>
              <w:spacing w:before="60" w:after="60"/>
              <w:rPr>
                <w:b/>
                <w:i/>
                <w:highlight w:val="yellow"/>
              </w:rPr>
            </w:pPr>
            <w:r w:rsidRPr="00A0433C">
              <w:rPr>
                <w:b/>
                <w:i/>
              </w:rPr>
              <w:t>[Approved] or [</w:t>
            </w:r>
            <w:r w:rsidR="005A11F5" w:rsidRPr="00A0433C">
              <w:rPr>
                <w:b/>
                <w:i/>
              </w:rPr>
              <w:t>Acknowledge receipt</w:t>
            </w:r>
            <w:r w:rsidRPr="00A0433C">
              <w:rPr>
                <w:b/>
                <w:i/>
              </w:rPr>
              <w:t>]</w:t>
            </w:r>
          </w:p>
        </w:tc>
        <w:tc>
          <w:tcPr>
            <w:tcW w:w="4467" w:type="dxa"/>
          </w:tcPr>
          <w:p w14:paraId="41E0540F" w14:textId="77777777" w:rsidR="005A11F5" w:rsidRPr="00A0433C" w:rsidRDefault="00E428CC" w:rsidP="00493135">
            <w:pPr>
              <w:spacing w:before="60" w:after="60"/>
            </w:pPr>
            <w:r w:rsidRPr="00A0433C">
              <w:t xml:space="preserve">CA </w:t>
            </w:r>
            <w:r w:rsidR="005A11F5" w:rsidRPr="00A0433C">
              <w:t>XXX</w:t>
            </w:r>
          </w:p>
        </w:tc>
        <w:tc>
          <w:tcPr>
            <w:tcW w:w="2206" w:type="dxa"/>
          </w:tcPr>
          <w:p w14:paraId="56059B7D" w14:textId="77777777" w:rsidR="005A11F5" w:rsidRPr="00A0433C" w:rsidRDefault="005A11F5" w:rsidP="00493135">
            <w:pPr>
              <w:spacing w:before="60" w:after="60"/>
              <w:jc w:val="center"/>
            </w:pPr>
            <w:r w:rsidRPr="00A0433C">
              <w:t>YYYY-MM-DD</w:t>
            </w:r>
          </w:p>
        </w:tc>
      </w:tr>
    </w:tbl>
    <w:p w14:paraId="7AF8C099" w14:textId="77777777" w:rsidR="002E18ED" w:rsidRPr="00A0433C" w:rsidRDefault="002E18ED" w:rsidP="00493135">
      <w:pPr>
        <w:rPr>
          <w:b/>
        </w:rPr>
      </w:pPr>
    </w:p>
    <w:p w14:paraId="3401992E" w14:textId="77777777" w:rsidR="0030269A" w:rsidRPr="00A0433C" w:rsidRDefault="0030269A" w:rsidP="00493135">
      <w:pPr>
        <w:rPr>
          <w:b/>
        </w:rPr>
      </w:pPr>
      <w:r w:rsidRPr="00A0433C">
        <w:rPr>
          <w:b/>
        </w:rPr>
        <w:t>Table of Content</w:t>
      </w:r>
    </w:p>
    <w:p w14:paraId="08750176" w14:textId="3EF8B702" w:rsidR="00F70FA4" w:rsidRDefault="0030269A" w:rsidP="005C54D7">
      <w:pPr>
        <w:pStyle w:val="TM1"/>
        <w:rPr>
          <w:kern w:val="2"/>
          <w:sz w:val="22"/>
          <w:szCs w:val="22"/>
          <w:lang w:val="fr-CA" w:eastAsia="fr-CA"/>
          <w14:ligatures w14:val="standardContextual"/>
        </w:rPr>
      </w:pPr>
      <w:r w:rsidRPr="00A0433C">
        <w:rPr>
          <w:noProof w:val="0"/>
        </w:rPr>
        <w:fldChar w:fldCharType="begin"/>
      </w:r>
      <w:r w:rsidRPr="00A0433C">
        <w:rPr>
          <w:noProof w:val="0"/>
        </w:rPr>
        <w:instrText xml:space="preserve"> TOC \o "1-2" \u </w:instrText>
      </w:r>
      <w:r w:rsidRPr="00A0433C">
        <w:rPr>
          <w:noProof w:val="0"/>
        </w:rPr>
        <w:fldChar w:fldCharType="separate"/>
      </w:r>
      <w:r w:rsidR="00F70FA4">
        <w:t>1</w:t>
      </w:r>
      <w:r w:rsidR="00F70FA4">
        <w:rPr>
          <w:kern w:val="2"/>
          <w:sz w:val="22"/>
          <w:szCs w:val="22"/>
          <w:lang w:val="fr-CA" w:eastAsia="fr-CA"/>
          <w14:ligatures w14:val="standardContextual"/>
        </w:rPr>
        <w:tab/>
      </w:r>
      <w:r w:rsidR="00F70FA4">
        <w:t>Purpose</w:t>
      </w:r>
      <w:r w:rsidR="00F70FA4">
        <w:tab/>
      </w:r>
      <w:r w:rsidR="00F70FA4">
        <w:fldChar w:fldCharType="begin"/>
      </w:r>
      <w:r w:rsidR="00F70FA4">
        <w:instrText xml:space="preserve"> PAGEREF _Toc151528429 \h </w:instrText>
      </w:r>
      <w:r w:rsidR="00F70FA4">
        <w:fldChar w:fldCharType="separate"/>
      </w:r>
      <w:r w:rsidR="00F70FA4">
        <w:t>1</w:t>
      </w:r>
      <w:r w:rsidR="00F70FA4">
        <w:fldChar w:fldCharType="end"/>
      </w:r>
    </w:p>
    <w:p w14:paraId="0BC5B575" w14:textId="6E6CDFD6" w:rsidR="00F70FA4" w:rsidRDefault="00F70FA4" w:rsidP="005C54D7">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_Toc151528430 \h </w:instrText>
      </w:r>
      <w:r>
        <w:fldChar w:fldCharType="separate"/>
      </w:r>
      <w:r>
        <w:t>2</w:t>
      </w:r>
      <w:r>
        <w:fldChar w:fldCharType="end"/>
      </w:r>
    </w:p>
    <w:p w14:paraId="3ACF0CB5" w14:textId="319B7D35" w:rsidR="00F70FA4" w:rsidRDefault="00F70FA4" w:rsidP="005C54D7">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_Toc151528431 \h </w:instrText>
      </w:r>
      <w:r>
        <w:fldChar w:fldCharType="separate"/>
      </w:r>
      <w:r>
        <w:t>2</w:t>
      </w:r>
      <w:r>
        <w:fldChar w:fldCharType="end"/>
      </w:r>
    </w:p>
    <w:p w14:paraId="342743B7" w14:textId="3F653508" w:rsidR="00F70FA4" w:rsidRDefault="00F70FA4" w:rsidP="005C54D7">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_Toc151528432 \h </w:instrText>
      </w:r>
      <w:r>
        <w:fldChar w:fldCharType="separate"/>
      </w:r>
      <w:r>
        <w:t>2</w:t>
      </w:r>
      <w:r>
        <w:fldChar w:fldCharType="end"/>
      </w:r>
    </w:p>
    <w:p w14:paraId="615D8CC2" w14:textId="1105AC59" w:rsidR="00F70FA4" w:rsidRDefault="00F70FA4" w:rsidP="005C54D7">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_Toc151528433 \h </w:instrText>
      </w:r>
      <w:r>
        <w:fldChar w:fldCharType="separate"/>
      </w:r>
      <w:r>
        <w:t>2</w:t>
      </w:r>
      <w:r>
        <w:fldChar w:fldCharType="end"/>
      </w:r>
    </w:p>
    <w:p w14:paraId="5CEDE10A" w14:textId="0A9C01F3" w:rsidR="00F70FA4" w:rsidRDefault="00F70FA4">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Procedures for Ethics Review in Declared Emergency Situations</w:t>
      </w:r>
      <w:r>
        <w:tab/>
      </w:r>
      <w:r>
        <w:fldChar w:fldCharType="begin"/>
      </w:r>
      <w:r>
        <w:instrText xml:space="preserve"> PAGEREF _Toc151528434 \h </w:instrText>
      </w:r>
      <w:r>
        <w:fldChar w:fldCharType="separate"/>
      </w:r>
      <w:r>
        <w:t>3</w:t>
      </w:r>
      <w:r>
        <w:fldChar w:fldCharType="end"/>
      </w:r>
    </w:p>
    <w:p w14:paraId="2CDF326C" w14:textId="78E6D302" w:rsidR="00F70FA4" w:rsidRDefault="00F70FA4">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Order of Priority for Reviews in a Publicly Declared Emergency</w:t>
      </w:r>
      <w:r>
        <w:tab/>
      </w:r>
      <w:r>
        <w:fldChar w:fldCharType="begin"/>
      </w:r>
      <w:r>
        <w:instrText xml:space="preserve"> PAGEREF _Toc151528435 \h </w:instrText>
      </w:r>
      <w:r>
        <w:fldChar w:fldCharType="separate"/>
      </w:r>
      <w:r>
        <w:t>4</w:t>
      </w:r>
      <w:r>
        <w:fldChar w:fldCharType="end"/>
      </w:r>
    </w:p>
    <w:p w14:paraId="099E2165" w14:textId="1C9B219E" w:rsidR="00F70FA4" w:rsidRDefault="00F70FA4" w:rsidP="005C54D7">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_Toc151528436 \h </w:instrText>
      </w:r>
      <w:r>
        <w:fldChar w:fldCharType="separate"/>
      </w:r>
      <w:r>
        <w:t>5</w:t>
      </w:r>
      <w:r>
        <w:fldChar w:fldCharType="end"/>
      </w:r>
    </w:p>
    <w:p w14:paraId="1273D019" w14:textId="7E1B21B8" w:rsidR="00F70FA4" w:rsidRDefault="00F70FA4" w:rsidP="005C54D7">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_Toc151528437 \h </w:instrText>
      </w:r>
      <w:r>
        <w:fldChar w:fldCharType="separate"/>
      </w:r>
      <w:r>
        <w:t>5</w:t>
      </w:r>
      <w:r>
        <w:fldChar w:fldCharType="end"/>
      </w:r>
    </w:p>
    <w:p w14:paraId="00030F99" w14:textId="729E66EC" w:rsidR="00F70FA4" w:rsidRDefault="00F70FA4" w:rsidP="005C54D7">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_Toc151528438 \h </w:instrText>
      </w:r>
      <w:r>
        <w:fldChar w:fldCharType="separate"/>
      </w:r>
      <w:r>
        <w:t>5</w:t>
      </w:r>
      <w:r>
        <w:fldChar w:fldCharType="end"/>
      </w:r>
    </w:p>
    <w:p w14:paraId="32813227" w14:textId="107A231F" w:rsidR="002B5BA5" w:rsidRPr="00A0433C" w:rsidRDefault="0030269A" w:rsidP="00493135">
      <w:r w:rsidRPr="00A0433C">
        <w:rPr>
          <w:rFonts w:eastAsiaTheme="minorEastAsia" w:cstheme="minorHAnsi"/>
          <w:lang w:eastAsia="fr-FR"/>
        </w:rPr>
        <w:fldChar w:fldCharType="end"/>
      </w:r>
    </w:p>
    <w:p w14:paraId="216DDF15" w14:textId="77777777" w:rsidR="00B66BD6" w:rsidRPr="00A0433C" w:rsidRDefault="00756C58" w:rsidP="00493135">
      <w:pPr>
        <w:pStyle w:val="Titre1"/>
        <w:widowControl/>
      </w:pPr>
      <w:bookmarkStart w:id="0" w:name="_Toc151528429"/>
      <w:r w:rsidRPr="00A0433C">
        <w:t>Purpose</w:t>
      </w:r>
      <w:bookmarkEnd w:id="0"/>
    </w:p>
    <w:p w14:paraId="0F13E519" w14:textId="77777777" w:rsidR="002E18ED" w:rsidRPr="00A0433C" w:rsidRDefault="00493135" w:rsidP="00493135">
      <w:r w:rsidRPr="00A0433C">
        <w:t>This standard operating procedure (SOP) describes the research ethics review procedures during a publicly declared emergency.</w:t>
      </w:r>
    </w:p>
    <w:p w14:paraId="0948B9F7" w14:textId="77777777" w:rsidR="00756C58" w:rsidRPr="00A0433C" w:rsidRDefault="00756C58" w:rsidP="00493135">
      <w:pPr>
        <w:pStyle w:val="Titre1"/>
        <w:widowControl/>
      </w:pPr>
      <w:bookmarkStart w:id="1" w:name="_Toc151528430"/>
      <w:r w:rsidRPr="00A0433C">
        <w:lastRenderedPageBreak/>
        <w:t>Scope</w:t>
      </w:r>
      <w:bookmarkEnd w:id="1"/>
    </w:p>
    <w:p w14:paraId="4612EFF4" w14:textId="77777777" w:rsidR="00493135" w:rsidRPr="00A0433C" w:rsidRDefault="00493135" w:rsidP="00493135">
      <w:r w:rsidRPr="00A0433C">
        <w:t>This SOP pertains to Research Ethics Boards (REB) that review human participant research in compliance with applicable regulations and guidelines.</w:t>
      </w:r>
    </w:p>
    <w:p w14:paraId="5F8C3875" w14:textId="77777777" w:rsidR="00756C58" w:rsidRPr="00A0433C" w:rsidRDefault="002E18ED" w:rsidP="00493135">
      <w:pPr>
        <w:pStyle w:val="Titre1"/>
        <w:widowControl/>
      </w:pPr>
      <w:bookmarkStart w:id="2" w:name="_Toc151528431"/>
      <w:r w:rsidRPr="00A0433C">
        <w:t>R</w:t>
      </w:r>
      <w:r w:rsidR="00756C58" w:rsidRPr="00A0433C">
        <w:t>esponsibilities</w:t>
      </w:r>
      <w:bookmarkEnd w:id="2"/>
    </w:p>
    <w:p w14:paraId="215ED206" w14:textId="77777777" w:rsidR="00493135" w:rsidRPr="00A0433C" w:rsidRDefault="00493135" w:rsidP="00493135">
      <w:r w:rsidRPr="00A0433C">
        <w:t>All REB members and REB Support Staff are responsible for ensuring that the requirements of this SOP are met.</w:t>
      </w:r>
    </w:p>
    <w:p w14:paraId="4FC7E004" w14:textId="6B8B28A0" w:rsidR="002D671D" w:rsidRPr="00A0433C" w:rsidRDefault="002D671D" w:rsidP="00493135">
      <w:r w:rsidRPr="00A0433C">
        <w:t xml:space="preserve">The institution </w:t>
      </w:r>
      <w:r w:rsidR="00705D3C" w:rsidRPr="00A0433C">
        <w:t>will decide</w:t>
      </w:r>
      <w:r w:rsidRPr="00A0433C">
        <w:t xml:space="preserve"> on the volume and nature </w:t>
      </w:r>
      <w:r w:rsidR="00D04B46" w:rsidRPr="00A0433C">
        <w:t xml:space="preserve">of </w:t>
      </w:r>
      <w:r w:rsidRPr="00A0433C">
        <w:t xml:space="preserve">research activities </w:t>
      </w:r>
      <w:r w:rsidR="00D04B46" w:rsidRPr="00A0433C">
        <w:t xml:space="preserve">and how they will continue to be conducted </w:t>
      </w:r>
      <w:r w:rsidRPr="00A0433C">
        <w:t xml:space="preserve">during a publicly declared </w:t>
      </w:r>
      <w:proofErr w:type="gramStart"/>
      <w:r w:rsidRPr="00A0433C">
        <w:t>emergency situation</w:t>
      </w:r>
      <w:proofErr w:type="gramEnd"/>
      <w:r w:rsidRPr="00A0433C">
        <w:t>, in consideration of REB capacities and resources.</w:t>
      </w:r>
    </w:p>
    <w:p w14:paraId="4DABEAC6" w14:textId="77777777" w:rsidR="00756C58" w:rsidRPr="00A0433C" w:rsidRDefault="002E18ED" w:rsidP="00493135">
      <w:pPr>
        <w:pStyle w:val="Titre1"/>
        <w:widowControl/>
      </w:pPr>
      <w:bookmarkStart w:id="3" w:name="_Toc151528432"/>
      <w:r w:rsidRPr="00A0433C">
        <w:t>D</w:t>
      </w:r>
      <w:r w:rsidR="00756C58" w:rsidRPr="00A0433C">
        <w:t>efinitions</w:t>
      </w:r>
      <w:bookmarkEnd w:id="3"/>
    </w:p>
    <w:p w14:paraId="575A896B" w14:textId="77777777" w:rsidR="002E18ED" w:rsidRPr="00A0433C" w:rsidRDefault="00A313CE" w:rsidP="00493135">
      <w:r w:rsidRPr="00A0433C">
        <w:t>See Glossary of Terms.</w:t>
      </w:r>
    </w:p>
    <w:p w14:paraId="47569F65" w14:textId="77777777" w:rsidR="00756C58" w:rsidRPr="00A0433C" w:rsidRDefault="002E18ED" w:rsidP="00493135">
      <w:pPr>
        <w:pStyle w:val="Titre1"/>
        <w:widowControl/>
      </w:pPr>
      <w:bookmarkStart w:id="4" w:name="_Toc151528433"/>
      <w:r w:rsidRPr="00A0433C">
        <w:t>P</w:t>
      </w:r>
      <w:r w:rsidR="00756C58" w:rsidRPr="00A0433C">
        <w:t>rocedures</w:t>
      </w:r>
      <w:bookmarkEnd w:id="4"/>
    </w:p>
    <w:p w14:paraId="612DB124" w14:textId="19C7CE29" w:rsidR="00493135" w:rsidRPr="00A0433C" w:rsidRDefault="00493135" w:rsidP="00493135">
      <w:r w:rsidRPr="00A0433C">
        <w:t xml:space="preserve">A publicly declared emergency is </w:t>
      </w:r>
      <w:proofErr w:type="gramStart"/>
      <w:r w:rsidRPr="00A0433C">
        <w:t>an emergency situation</w:t>
      </w:r>
      <w:proofErr w:type="gramEnd"/>
      <w:r w:rsidRPr="00A0433C">
        <w:t xml:space="preserve"> that, due to the extraordinary risks it presents, has been proclaimed as such by an authorized public official in accordance with legislation and/or public policy.</w:t>
      </w:r>
      <w:r w:rsidRPr="00A0433C">
        <w:rPr>
          <w:vertAlign w:val="superscript"/>
        </w:rPr>
        <w:footnoteReference w:id="1"/>
      </w:r>
      <w:r w:rsidRPr="00A0433C">
        <w:t xml:space="preserve"> Publicly declared emergencies arise suddenly or unexpectedly and require urgent or quick responses. Examples include natural disasters, large communicable disease outbreaks, environmental disasters, and humanitarian emergencies.</w:t>
      </w:r>
      <w:r w:rsidR="00D04B46" w:rsidRPr="00A0433C">
        <w:rPr>
          <w:rStyle w:val="Appelnotedebasdep"/>
        </w:rPr>
        <w:footnoteReference w:id="2"/>
      </w:r>
      <w:r w:rsidRPr="00A0433C">
        <w:t xml:space="preserve"> Such emergencies may represent significant risks for research participants in ongoing research or in new research initiated </w:t>
      </w:r>
      <w:proofErr w:type="gramStart"/>
      <w:r w:rsidRPr="00A0433C">
        <w:t>as a result of</w:t>
      </w:r>
      <w:proofErr w:type="gramEnd"/>
      <w:r w:rsidRPr="00A0433C">
        <w:t xml:space="preserve"> the emergency. Potential research participants who may not normally be considered vulnerable may become so by the very nature of the public emergencies, while those already vulnerable may become acutely so.</w:t>
      </w:r>
      <w:r w:rsidRPr="00A0433C">
        <w:rPr>
          <w:vertAlign w:val="superscript"/>
        </w:rPr>
        <w:footnoteReference w:id="3"/>
      </w:r>
      <w:r w:rsidRPr="00A0433C">
        <w:t xml:space="preserve"> </w:t>
      </w:r>
    </w:p>
    <w:p w14:paraId="30F1AEE9" w14:textId="4074072A" w:rsidR="00493135" w:rsidRPr="00A0433C" w:rsidRDefault="00493135" w:rsidP="00493135">
      <w:r w:rsidRPr="00A0433C">
        <w:t>During publicly declared emergencies, the REB must have established procedures to continue to provide the necessary research ethics oversight.</w:t>
      </w:r>
      <w:r w:rsidRPr="00A0433C">
        <w:rPr>
          <w:vertAlign w:val="superscript"/>
        </w:rPr>
        <w:footnoteReference w:id="4"/>
      </w:r>
      <w:r w:rsidRPr="00A0433C">
        <w:t xml:space="preserve"> Research ethics review during publicly declared emergencies may necessitate the use of innovative practices. Depending upon the nature of the emergency, for example, REBs might not be able to meet in person, and delegated review procedures may have to be designed to respond to research</w:t>
      </w:r>
      <w:r w:rsidR="00D04B46" w:rsidRPr="00A0433C">
        <w:t xml:space="preserve"> emergencies</w:t>
      </w:r>
      <w:r w:rsidRPr="00A0433C">
        <w:t xml:space="preserve">. </w:t>
      </w:r>
      <w:r w:rsidR="00D04B46" w:rsidRPr="00A0433C">
        <w:t xml:space="preserve">The occurrence of an emergency must not override the procedures established to protect the welfare of research participants. </w:t>
      </w:r>
      <w:r w:rsidRPr="00A0433C">
        <w:t>Any relaxation of the usual procedural requirements for review should be proportionate to the complexity and urgency of the emergency, as well as to the risks posed by the research under review.</w:t>
      </w:r>
      <w:r w:rsidRPr="00A0433C">
        <w:rPr>
          <w:vertAlign w:val="superscript"/>
        </w:rPr>
        <w:footnoteReference w:id="5"/>
      </w:r>
      <w:r w:rsidRPr="00A0433C">
        <w:t xml:space="preserve"> </w:t>
      </w:r>
    </w:p>
    <w:p w14:paraId="42CFEBA6" w14:textId="7613AE24" w:rsidR="00493135" w:rsidRPr="00A0433C" w:rsidRDefault="00493135" w:rsidP="006E70BB">
      <w:pPr>
        <w:pStyle w:val="Titre2"/>
        <w:keepNext/>
        <w:widowControl/>
        <w:ind w:left="1138" w:hanging="1138"/>
      </w:pPr>
      <w:bookmarkStart w:id="5" w:name="_Toc151528434"/>
      <w:r w:rsidRPr="00A0433C">
        <w:lastRenderedPageBreak/>
        <w:t xml:space="preserve">Procedures for Ethics Review in </w:t>
      </w:r>
      <w:r w:rsidR="00802FEA" w:rsidRPr="00A0433C">
        <w:t xml:space="preserve">Declared </w:t>
      </w:r>
      <w:r w:rsidRPr="00A0433C">
        <w:t>Emergency Situations</w:t>
      </w:r>
      <w:bookmarkEnd w:id="5"/>
    </w:p>
    <w:p w14:paraId="3D901253" w14:textId="0F091DB6" w:rsidR="00493135" w:rsidRPr="00A0433C" w:rsidRDefault="00493135" w:rsidP="006E70BB">
      <w:pPr>
        <w:pStyle w:val="Titre3"/>
        <w:keepNext/>
        <w:widowControl/>
        <w:ind w:left="1138" w:hanging="1138"/>
      </w:pPr>
      <w:r w:rsidRPr="00A0433C">
        <w:t xml:space="preserve">Subject to a publicly declared emergency, </w:t>
      </w:r>
      <w:r w:rsidR="00FB472C" w:rsidRPr="00A0433C">
        <w:t xml:space="preserve">temporary </w:t>
      </w:r>
      <w:r w:rsidRPr="00A0433C">
        <w:t>ethics review processes may be instituted</w:t>
      </w:r>
      <w:r w:rsidRPr="00A0433C">
        <w:rPr>
          <w:vertAlign w:val="superscript"/>
        </w:rPr>
        <w:footnoteReference w:id="6"/>
      </w:r>
      <w:r w:rsidRPr="00A0433C">
        <w:t>;</w:t>
      </w:r>
    </w:p>
    <w:p w14:paraId="564DF7AD" w14:textId="6B215E79" w:rsidR="00FB472C" w:rsidRPr="00A0433C" w:rsidRDefault="00FB472C" w:rsidP="00493135">
      <w:pPr>
        <w:pStyle w:val="Titre3"/>
        <w:widowControl/>
      </w:pPr>
      <w:r w:rsidRPr="00A0433C">
        <w:t>Depending on the circumstances, teleconferencing or videoconferencing may be used to hold REB meetings.</w:t>
      </w:r>
    </w:p>
    <w:p w14:paraId="69013ED7" w14:textId="0661FD1F" w:rsidR="00FB472C" w:rsidRPr="00A0433C" w:rsidRDefault="00FB472C" w:rsidP="00493135">
      <w:pPr>
        <w:pStyle w:val="Titre3"/>
        <w:widowControl/>
      </w:pPr>
      <w:r w:rsidRPr="00A0433C">
        <w:t xml:space="preserve">Depending on the circumstances, REB Support Staff may conduct </w:t>
      </w:r>
      <w:r w:rsidR="00705D3C" w:rsidRPr="00A0433C">
        <w:t>their</w:t>
      </w:r>
      <w:r w:rsidRPr="00A0433C">
        <w:t xml:space="preserve"> activities remotely (remote access to emails and voic</w:t>
      </w:r>
      <w:r w:rsidR="00705D3C" w:rsidRPr="00A0433C">
        <w:t>e</w:t>
      </w:r>
      <w:r w:rsidRPr="00A0433C">
        <w:t xml:space="preserve">mail), thereby minimizing service disruptions.  </w:t>
      </w:r>
    </w:p>
    <w:p w14:paraId="5B1BDDE1" w14:textId="4EACD293" w:rsidR="00493135" w:rsidRPr="00A0433C" w:rsidRDefault="00493135" w:rsidP="00493135">
      <w:pPr>
        <w:pStyle w:val="Titre3"/>
        <w:widowControl/>
      </w:pPr>
      <w:r w:rsidRPr="00A0433C">
        <w:t>The REB Chair or designee may suspend the currently established REB meeting quorum</w:t>
      </w:r>
      <w:r w:rsidR="00A0433C">
        <w:t xml:space="preserve">. </w:t>
      </w:r>
      <w:r w:rsidR="00FB472C" w:rsidRPr="00A0433C">
        <w:t xml:space="preserve">However, in the case of projects governed by article 21 of the Civil Code of Québec, the quorum must meet the minimum composition required by </w:t>
      </w:r>
      <w:proofErr w:type="gramStart"/>
      <w:r w:rsidR="00FB472C" w:rsidRPr="00A0433C">
        <w:t>law</w:t>
      </w:r>
      <w:r w:rsidRPr="00A0433C">
        <w:t>;</w:t>
      </w:r>
      <w:proofErr w:type="gramEnd"/>
    </w:p>
    <w:p w14:paraId="11208AAC" w14:textId="6455A45F" w:rsidR="000E0947" w:rsidRPr="00A0433C" w:rsidRDefault="000E0947" w:rsidP="000E0947">
      <w:pPr>
        <w:pStyle w:val="Titre3"/>
        <w:widowControl/>
      </w:pPr>
      <w:r w:rsidRPr="00A0433C">
        <w:t>In his discretion, the REB Chair or designee may invite persons with expertise in a specific field to collaborate in the review of questions necessitating expertise beyond that available</w:t>
      </w:r>
      <w:r w:rsidRPr="00A0433C">
        <w:rPr>
          <w:rStyle w:val="Appelnotedebasdep"/>
        </w:rPr>
        <w:footnoteReference w:id="7"/>
      </w:r>
      <w:r w:rsidRPr="00A0433C">
        <w:t xml:space="preserve">; however, </w:t>
      </w:r>
      <w:r w:rsidR="009B5825" w:rsidRPr="00A0433C">
        <w:t>a</w:t>
      </w:r>
      <w:r w:rsidR="00631630" w:rsidRPr="00A0433C">
        <w:t xml:space="preserve">d </w:t>
      </w:r>
      <w:r w:rsidR="009B5825" w:rsidRPr="00A0433C">
        <w:t>h</w:t>
      </w:r>
      <w:r w:rsidR="00631630" w:rsidRPr="00A0433C">
        <w:t xml:space="preserve">oc </w:t>
      </w:r>
      <w:r w:rsidRPr="00A0433C">
        <w:t xml:space="preserve">advisors may not contribute directly to committee decisions and their presence may not be </w:t>
      </w:r>
      <w:r w:rsidR="005407EF" w:rsidRPr="00A0433C">
        <w:t>counted towards the</w:t>
      </w:r>
      <w:r w:rsidRPr="00A0433C">
        <w:t xml:space="preserve"> quorum.  </w:t>
      </w:r>
    </w:p>
    <w:p w14:paraId="571BF7E0" w14:textId="77777777" w:rsidR="00493135" w:rsidRPr="00A0433C" w:rsidRDefault="00493135" w:rsidP="00493135">
      <w:pPr>
        <w:pStyle w:val="Titre3"/>
        <w:widowControl/>
      </w:pPr>
      <w:r w:rsidRPr="00A0433C">
        <w:t>The expertise required for the quorum may be established in the following order of priority:</w:t>
      </w:r>
    </w:p>
    <w:p w14:paraId="67011EDE" w14:textId="77777777" w:rsidR="00493135" w:rsidRPr="00A0433C" w:rsidRDefault="00493135" w:rsidP="00493135">
      <w:pPr>
        <w:pStyle w:val="SOPBulletC"/>
      </w:pPr>
      <w:r w:rsidRPr="00A0433C">
        <w:t>REB members from the institution,</w:t>
      </w:r>
    </w:p>
    <w:p w14:paraId="310A2A54" w14:textId="6077CFE2" w:rsidR="00493135" w:rsidRPr="00A0433C" w:rsidRDefault="00493135" w:rsidP="00493135">
      <w:pPr>
        <w:pStyle w:val="SOPBulletC"/>
      </w:pPr>
      <w:r w:rsidRPr="00A0433C">
        <w:t xml:space="preserve">REB members from another institution in the </w:t>
      </w:r>
      <w:r w:rsidR="000D481A" w:rsidRPr="00A0433C">
        <w:t>Québec Health and Social Services Network (</w:t>
      </w:r>
      <w:proofErr w:type="spellStart"/>
      <w:r w:rsidR="000D481A" w:rsidRPr="00A0433C">
        <w:rPr>
          <w:i/>
        </w:rPr>
        <w:t>Réseau</w:t>
      </w:r>
      <w:proofErr w:type="spellEnd"/>
      <w:r w:rsidR="000D481A" w:rsidRPr="00A0433C">
        <w:rPr>
          <w:i/>
        </w:rPr>
        <w:t xml:space="preserve"> de la </w:t>
      </w:r>
      <w:proofErr w:type="spellStart"/>
      <w:r w:rsidR="000D481A" w:rsidRPr="00A0433C">
        <w:rPr>
          <w:i/>
        </w:rPr>
        <w:t>santé</w:t>
      </w:r>
      <w:proofErr w:type="spellEnd"/>
      <w:r w:rsidR="000D481A" w:rsidRPr="00A0433C">
        <w:rPr>
          <w:i/>
        </w:rPr>
        <w:t xml:space="preserve"> et des services </w:t>
      </w:r>
      <w:proofErr w:type="spellStart"/>
      <w:r w:rsidR="000D481A" w:rsidRPr="00A0433C">
        <w:rPr>
          <w:i/>
        </w:rPr>
        <w:t>sociaux</w:t>
      </w:r>
      <w:proofErr w:type="spellEnd"/>
      <w:r w:rsidR="000D481A" w:rsidRPr="00A0433C">
        <w:t xml:space="preserve">, RSSS) </w:t>
      </w:r>
      <w:r w:rsidR="008B27CB" w:rsidRPr="00A0433C">
        <w:t>or the central research ethics committee</w:t>
      </w:r>
      <w:r w:rsidRPr="00A0433C">
        <w:t>,</w:t>
      </w:r>
    </w:p>
    <w:p w14:paraId="6E069FC5" w14:textId="7CE0DAF2" w:rsidR="00493135" w:rsidRPr="00A0433C" w:rsidRDefault="00493135" w:rsidP="00493135">
      <w:pPr>
        <w:pStyle w:val="SOPBulletC"/>
      </w:pPr>
      <w:r w:rsidRPr="00A0433C">
        <w:t>Other individuals with the required expertise</w:t>
      </w:r>
      <w:r w:rsidR="008B27CB" w:rsidRPr="00A0433C">
        <w:t>.</w:t>
      </w:r>
    </w:p>
    <w:p w14:paraId="2F723097" w14:textId="7F4B627C" w:rsidR="00493135" w:rsidRPr="00A0433C" w:rsidRDefault="008B27CB" w:rsidP="00493135">
      <w:pPr>
        <w:pStyle w:val="Titre3"/>
        <w:widowControl/>
      </w:pPr>
      <w:r w:rsidRPr="00A0433C">
        <w:t xml:space="preserve">The REB Chair or designee </w:t>
      </w:r>
      <w:r w:rsidR="00705D3C" w:rsidRPr="00A0433C">
        <w:t>will rely</w:t>
      </w:r>
      <w:r w:rsidRPr="00A0433C">
        <w:t xml:space="preserve"> on his judgment to determine the type of review required (delegated review </w:t>
      </w:r>
      <w:r w:rsidR="000D481A" w:rsidRPr="00A0433C">
        <w:t xml:space="preserve">or full board meeting), in consideration of the gravity of the impact of the emergency and the complexity and urgent character of the </w:t>
      </w:r>
      <w:proofErr w:type="gramStart"/>
      <w:r w:rsidR="000D481A" w:rsidRPr="00A0433C">
        <w:t>request</w:t>
      </w:r>
      <w:r w:rsidR="00493135" w:rsidRPr="00A0433C">
        <w:t>;</w:t>
      </w:r>
      <w:proofErr w:type="gramEnd"/>
    </w:p>
    <w:p w14:paraId="4ABEDCD5" w14:textId="3CD90312" w:rsidR="00493135" w:rsidRPr="00A0433C" w:rsidRDefault="00493135" w:rsidP="00493135">
      <w:pPr>
        <w:pStyle w:val="Titre3"/>
        <w:widowControl/>
      </w:pPr>
      <w:r w:rsidRPr="00A0433C">
        <w:t xml:space="preserve">The REB Chair or designee may refer the ethics review of new research and the oversight of ongoing research to another REB of </w:t>
      </w:r>
      <w:r w:rsidR="000D481A" w:rsidRPr="00A0433C">
        <w:t xml:space="preserve">an institution in </w:t>
      </w:r>
      <w:r w:rsidRPr="00A0433C">
        <w:t>the Québec Health and Social Services Network (</w:t>
      </w:r>
      <w:proofErr w:type="spellStart"/>
      <w:r w:rsidRPr="00A0433C">
        <w:rPr>
          <w:i/>
        </w:rPr>
        <w:t>Réseau</w:t>
      </w:r>
      <w:proofErr w:type="spellEnd"/>
      <w:r w:rsidRPr="00A0433C">
        <w:rPr>
          <w:i/>
        </w:rPr>
        <w:t xml:space="preserve"> de la </w:t>
      </w:r>
      <w:proofErr w:type="spellStart"/>
      <w:r w:rsidRPr="00A0433C">
        <w:rPr>
          <w:i/>
        </w:rPr>
        <w:t>santé</w:t>
      </w:r>
      <w:proofErr w:type="spellEnd"/>
      <w:r w:rsidRPr="00A0433C">
        <w:rPr>
          <w:i/>
        </w:rPr>
        <w:t xml:space="preserve"> et des services </w:t>
      </w:r>
      <w:proofErr w:type="spellStart"/>
      <w:r w:rsidRPr="00A0433C">
        <w:rPr>
          <w:i/>
        </w:rPr>
        <w:t>sociaux</w:t>
      </w:r>
      <w:proofErr w:type="spellEnd"/>
      <w:r w:rsidRPr="00A0433C">
        <w:t>, RSSS)</w:t>
      </w:r>
      <w:r w:rsidR="000D481A" w:rsidRPr="00A0433C">
        <w:t xml:space="preserve"> or the central research ethics </w:t>
      </w:r>
      <w:proofErr w:type="gramStart"/>
      <w:r w:rsidR="000D481A" w:rsidRPr="00A0433C">
        <w:t>committee</w:t>
      </w:r>
      <w:r w:rsidRPr="00A0433C">
        <w:t>;</w:t>
      </w:r>
      <w:proofErr w:type="gramEnd"/>
    </w:p>
    <w:p w14:paraId="172AB844" w14:textId="0890FA2A" w:rsidR="00493135" w:rsidRPr="00A0433C" w:rsidRDefault="00493135" w:rsidP="00493135">
      <w:pPr>
        <w:pStyle w:val="Titre3"/>
        <w:widowControl/>
      </w:pPr>
      <w:r w:rsidRPr="00A0433C">
        <w:t xml:space="preserve">Any modifications that are made in the application of research ethics policies and procedures during a publicly declared emergency must be documented and appropriately </w:t>
      </w:r>
      <w:proofErr w:type="gramStart"/>
      <w:r w:rsidRPr="00A0433C">
        <w:t>justified;</w:t>
      </w:r>
      <w:proofErr w:type="gramEnd"/>
    </w:p>
    <w:p w14:paraId="75CEF2E3" w14:textId="43417311" w:rsidR="000D481A" w:rsidRPr="00A0433C" w:rsidRDefault="000D481A" w:rsidP="00493135">
      <w:pPr>
        <w:pStyle w:val="Titre3"/>
        <w:widowControl/>
      </w:pPr>
      <w:r w:rsidRPr="00A0433C">
        <w:lastRenderedPageBreak/>
        <w:t xml:space="preserve">The REB Chair or designee must periodically review the impact of the emergency on the ethics review process and </w:t>
      </w:r>
      <w:r w:rsidR="00705D3C" w:rsidRPr="00A0433C">
        <w:t>adjust</w:t>
      </w:r>
      <w:r w:rsidRPr="00A0433C">
        <w:t xml:space="preserve"> </w:t>
      </w:r>
      <w:r w:rsidR="00705D3C" w:rsidRPr="00A0433C">
        <w:t>any</w:t>
      </w:r>
      <w:r w:rsidRPr="00A0433C">
        <w:t xml:space="preserve"> temporary ethics review process </w:t>
      </w:r>
      <w:proofErr w:type="gramStart"/>
      <w:r w:rsidRPr="00A0433C">
        <w:t>accordingly;</w:t>
      </w:r>
      <w:proofErr w:type="gramEnd"/>
    </w:p>
    <w:p w14:paraId="5CEBB6DC" w14:textId="69C9DA6A" w:rsidR="00493135" w:rsidRPr="00A0433C" w:rsidRDefault="00493135" w:rsidP="00493135">
      <w:pPr>
        <w:pStyle w:val="Titre3"/>
        <w:widowControl/>
      </w:pPr>
      <w:r w:rsidRPr="00A0433C">
        <w:t xml:space="preserve">Any modifications that are made in the application of research </w:t>
      </w:r>
      <w:r w:rsidR="000D481A" w:rsidRPr="00A0433C">
        <w:t xml:space="preserve">review </w:t>
      </w:r>
      <w:r w:rsidRPr="00A0433C">
        <w:t>policies and procedures during a publicly declared emergency will cease as soon as is feasible after the emergency has officially ended as declared by an authorized public official</w:t>
      </w:r>
      <w:r w:rsidR="00705D3C" w:rsidRPr="00A0433C">
        <w:t>.</w:t>
      </w:r>
      <w:r w:rsidRPr="00A0433C">
        <w:rPr>
          <w:vertAlign w:val="superscript"/>
        </w:rPr>
        <w:footnoteReference w:id="8"/>
      </w:r>
      <w:r w:rsidR="000D481A" w:rsidRPr="00A0433C">
        <w:t xml:space="preserve"> The REB Chair or designee </w:t>
      </w:r>
      <w:r w:rsidR="00705D3C" w:rsidRPr="00A0433C">
        <w:t xml:space="preserve">will </w:t>
      </w:r>
      <w:r w:rsidR="000D481A" w:rsidRPr="00A0433C">
        <w:t xml:space="preserve">determine when research ethics review processes may resume as </w:t>
      </w:r>
      <w:proofErr w:type="gramStart"/>
      <w:r w:rsidR="000D481A" w:rsidRPr="00A0433C">
        <w:t>usual</w:t>
      </w:r>
      <w:r w:rsidRPr="00A0433C">
        <w:t>;</w:t>
      </w:r>
      <w:proofErr w:type="gramEnd"/>
      <w:r w:rsidRPr="00A0433C">
        <w:t xml:space="preserve"> </w:t>
      </w:r>
    </w:p>
    <w:p w14:paraId="59D2EB90" w14:textId="31E0123B" w:rsidR="00493135" w:rsidRPr="00A0433C" w:rsidRDefault="000D481A" w:rsidP="00493135">
      <w:pPr>
        <w:pStyle w:val="Titre3"/>
        <w:widowControl/>
      </w:pPr>
      <w:r w:rsidRPr="00A0433C">
        <w:t>For a</w:t>
      </w:r>
      <w:r w:rsidR="00493135" w:rsidRPr="00A0433C">
        <w:t xml:space="preserve">ll </w:t>
      </w:r>
      <w:r w:rsidRPr="00A0433C">
        <w:t>reviews conducted in accordance with the</w:t>
      </w:r>
      <w:r w:rsidR="00705D3C" w:rsidRPr="00A0433C">
        <w:t xml:space="preserve"> delegated</w:t>
      </w:r>
      <w:r w:rsidRPr="00A0433C">
        <w:t xml:space="preserve"> review procedure</w:t>
      </w:r>
      <w:r w:rsidR="00493135" w:rsidRPr="00A0433C">
        <w:t xml:space="preserve"> following a publicly declared emergency</w:t>
      </w:r>
      <w:r w:rsidRPr="00A0433C">
        <w:t>,</w:t>
      </w:r>
      <w:r w:rsidR="00493135" w:rsidRPr="00A0433C">
        <w:t xml:space="preserve"> members </w:t>
      </w:r>
      <w:r w:rsidRPr="00A0433C">
        <w:t xml:space="preserve">must </w:t>
      </w:r>
      <w:r w:rsidR="00493135" w:rsidRPr="00A0433C">
        <w:t xml:space="preserve">determine whether Full Board review is required at the first opportunity subsequent to the cessation of the publicly declared emergency, or whether simply informing the Full Board is </w:t>
      </w:r>
      <w:proofErr w:type="gramStart"/>
      <w:r w:rsidR="00493135" w:rsidRPr="00A0433C">
        <w:t>sufficient;</w:t>
      </w:r>
      <w:proofErr w:type="gramEnd"/>
    </w:p>
    <w:p w14:paraId="298B9A1B" w14:textId="51F05211" w:rsidR="00493135" w:rsidRPr="00A0433C" w:rsidRDefault="00493135" w:rsidP="00493135">
      <w:pPr>
        <w:pStyle w:val="Titre3"/>
        <w:widowControl/>
      </w:pPr>
      <w:r w:rsidRPr="00A0433C">
        <w:t xml:space="preserve">At the conclusion of the publicly declared emergency, the REB Chair or designee and the REB Support Staff </w:t>
      </w:r>
      <w:r w:rsidR="00705D3C" w:rsidRPr="00A0433C">
        <w:t xml:space="preserve">will </w:t>
      </w:r>
      <w:r w:rsidR="00617A66" w:rsidRPr="00A0433C">
        <w:t xml:space="preserve">collaborate </w:t>
      </w:r>
      <w:r w:rsidR="00705D3C" w:rsidRPr="00A0433C">
        <w:t xml:space="preserve">to </w:t>
      </w:r>
      <w:r w:rsidRPr="00A0433C">
        <w:t>evaluate the effectiveness of the emergency procedures and make recommendations for improvement.</w:t>
      </w:r>
    </w:p>
    <w:p w14:paraId="6BA3B70D" w14:textId="77777777" w:rsidR="00493135" w:rsidRPr="00A0433C" w:rsidRDefault="00493135" w:rsidP="00493135">
      <w:pPr>
        <w:pStyle w:val="Titre2"/>
        <w:keepNext/>
        <w:widowControl/>
      </w:pPr>
      <w:bookmarkStart w:id="6" w:name="_Toc151528435"/>
      <w:r w:rsidRPr="00A0433C">
        <w:t>Order of Priority for Reviews in a Publicly Declared Emergency</w:t>
      </w:r>
      <w:bookmarkEnd w:id="6"/>
    </w:p>
    <w:p w14:paraId="02B2653D" w14:textId="77777777" w:rsidR="00493135" w:rsidRPr="00A0433C" w:rsidRDefault="00493135" w:rsidP="00493135">
      <w:pPr>
        <w:pStyle w:val="Titre3"/>
        <w:widowControl/>
      </w:pPr>
      <w:r w:rsidRPr="00A0433C">
        <w:t>New Research Reviews:</w:t>
      </w:r>
    </w:p>
    <w:p w14:paraId="10E27DD9" w14:textId="505E620E" w:rsidR="00493135" w:rsidRPr="00A0433C" w:rsidRDefault="00493135" w:rsidP="00493135">
      <w:pPr>
        <w:pStyle w:val="SOPBulletC"/>
      </w:pPr>
      <w:r w:rsidRPr="00A0433C">
        <w:t xml:space="preserve">Any research linked with a publicly declared emergency </w:t>
      </w:r>
      <w:r w:rsidR="0069256F" w:rsidRPr="00A0433C">
        <w:t xml:space="preserve">and </w:t>
      </w:r>
      <w:r w:rsidR="00617A66" w:rsidRPr="00A0433C">
        <w:t xml:space="preserve">with </w:t>
      </w:r>
      <w:r w:rsidR="0069256F" w:rsidRPr="00A0433C">
        <w:t xml:space="preserve">a </w:t>
      </w:r>
      <w:r w:rsidR="00617A66" w:rsidRPr="00A0433C">
        <w:t xml:space="preserve">high impact potential </w:t>
      </w:r>
      <w:r w:rsidRPr="00A0433C">
        <w:t>is a priority item,</w:t>
      </w:r>
    </w:p>
    <w:p w14:paraId="5C02B983" w14:textId="77777777" w:rsidR="00493135" w:rsidRPr="00A0433C" w:rsidRDefault="00493135" w:rsidP="00493135">
      <w:pPr>
        <w:pStyle w:val="SOPBulletC"/>
      </w:pPr>
      <w:r w:rsidRPr="00A0433C">
        <w:t>All research linked with a publicly declared emergency should be sent to the REB Chair or designee,</w:t>
      </w:r>
    </w:p>
    <w:p w14:paraId="6F93B299" w14:textId="77777777" w:rsidR="00493135" w:rsidRPr="00A0433C" w:rsidRDefault="00493135" w:rsidP="00493135">
      <w:pPr>
        <w:pStyle w:val="SOPBulletC"/>
      </w:pPr>
      <w:r w:rsidRPr="00A0433C">
        <w:t xml:space="preserve">Research not linked to the publicly declared emergency can be postponed until the necessary resources for review are </w:t>
      </w:r>
      <w:proofErr w:type="gramStart"/>
      <w:r w:rsidRPr="00A0433C">
        <w:t>available;</w:t>
      </w:r>
      <w:proofErr w:type="gramEnd"/>
    </w:p>
    <w:p w14:paraId="103799E3" w14:textId="77777777" w:rsidR="00493135" w:rsidRPr="00A0433C" w:rsidRDefault="00493135" w:rsidP="00493135">
      <w:pPr>
        <w:pStyle w:val="Titre3"/>
        <w:widowControl/>
      </w:pPr>
      <w:r w:rsidRPr="00A0433C">
        <w:t>Reviews in Progress at the Time the Emergency is Declared:</w:t>
      </w:r>
    </w:p>
    <w:p w14:paraId="40174825" w14:textId="77777777" w:rsidR="00493135" w:rsidRPr="00A0433C" w:rsidRDefault="00493135" w:rsidP="00493135">
      <w:pPr>
        <w:pStyle w:val="SOPBulletC"/>
      </w:pPr>
      <w:r w:rsidRPr="00A0433C">
        <w:t>Research linked with a publicly declared emergency is a priority item,</w:t>
      </w:r>
    </w:p>
    <w:p w14:paraId="58379380" w14:textId="77777777" w:rsidR="00493135" w:rsidRPr="00A0433C" w:rsidRDefault="00493135" w:rsidP="00493135">
      <w:pPr>
        <w:pStyle w:val="SOPBulletC"/>
      </w:pPr>
      <w:r w:rsidRPr="00A0433C">
        <w:t>Any initial review of research with possible therapeutic value is prioritized according to availability of resources,</w:t>
      </w:r>
    </w:p>
    <w:p w14:paraId="67226A18" w14:textId="77777777" w:rsidR="00493135" w:rsidRPr="00A0433C" w:rsidRDefault="00493135" w:rsidP="00493135">
      <w:pPr>
        <w:pStyle w:val="SOPBulletC"/>
      </w:pPr>
      <w:r w:rsidRPr="00A0433C">
        <w:t xml:space="preserve">Research not linked to the publicly declared emergency can be postponed until the necessary resources for review are </w:t>
      </w:r>
      <w:proofErr w:type="gramStart"/>
      <w:r w:rsidRPr="00A0433C">
        <w:t>available;</w:t>
      </w:r>
      <w:proofErr w:type="gramEnd"/>
    </w:p>
    <w:p w14:paraId="2E4CF755" w14:textId="77777777" w:rsidR="00493135" w:rsidRPr="00A0433C" w:rsidRDefault="00493135" w:rsidP="00493135">
      <w:pPr>
        <w:pStyle w:val="Titre3"/>
        <w:widowControl/>
      </w:pPr>
      <w:r w:rsidRPr="00A0433C">
        <w:t>Continuing Review of Ongoing Research:</w:t>
      </w:r>
    </w:p>
    <w:p w14:paraId="59B93ED6" w14:textId="77777777" w:rsidR="00493135" w:rsidRPr="00A0433C" w:rsidRDefault="00493135" w:rsidP="00493135">
      <w:pPr>
        <w:pStyle w:val="SOPBulletC"/>
      </w:pPr>
      <w:r w:rsidRPr="00A0433C">
        <w:t>The Researcher will advise the REB of any research suspended, if the suspension could impact on the health or safety of participants,</w:t>
      </w:r>
    </w:p>
    <w:p w14:paraId="32AC721B" w14:textId="77777777" w:rsidR="00493135" w:rsidRPr="00A0433C" w:rsidRDefault="00493135" w:rsidP="00493135">
      <w:pPr>
        <w:pStyle w:val="SOPBulletC"/>
      </w:pPr>
      <w:r w:rsidRPr="00A0433C">
        <w:t>Reviews will proceed in the following order of priority:</w:t>
      </w:r>
    </w:p>
    <w:p w14:paraId="1A2CA119" w14:textId="77777777" w:rsidR="00493135" w:rsidRPr="00A0433C" w:rsidRDefault="00493135" w:rsidP="00493135">
      <w:pPr>
        <w:pStyle w:val="SOPBulletD"/>
      </w:pPr>
      <w:r w:rsidRPr="00A0433C">
        <w:lastRenderedPageBreak/>
        <w:t>requests for major amendments and reports of adverse events,</w:t>
      </w:r>
    </w:p>
    <w:p w14:paraId="0D8C65B4" w14:textId="77777777" w:rsidR="00617A66" w:rsidRPr="00A0433C" w:rsidRDefault="00617A66" w:rsidP="00617A66">
      <w:pPr>
        <w:pStyle w:val="SOPBulletD"/>
      </w:pPr>
      <w:r w:rsidRPr="00A0433C">
        <w:t>annual review for renewal,</w:t>
      </w:r>
    </w:p>
    <w:p w14:paraId="3D2D0CEE" w14:textId="77777777" w:rsidR="00493135" w:rsidRPr="00A0433C" w:rsidRDefault="00493135" w:rsidP="00493135">
      <w:pPr>
        <w:pStyle w:val="SOPBulletD"/>
      </w:pPr>
      <w:r w:rsidRPr="00A0433C">
        <w:t>all other requests,</w:t>
      </w:r>
    </w:p>
    <w:p w14:paraId="0455DFEE" w14:textId="77777777" w:rsidR="00493135" w:rsidRPr="00A0433C" w:rsidRDefault="00493135" w:rsidP="00493135">
      <w:pPr>
        <w:pStyle w:val="SOPBulletD"/>
      </w:pPr>
      <w:r w:rsidRPr="00A0433C">
        <w:t xml:space="preserve">end-of-study </w:t>
      </w:r>
      <w:proofErr w:type="gramStart"/>
      <w:r w:rsidRPr="00A0433C">
        <w:t>reports;</w:t>
      </w:r>
      <w:proofErr w:type="gramEnd"/>
    </w:p>
    <w:p w14:paraId="6D7C5C4A" w14:textId="77777777" w:rsidR="00493135" w:rsidRPr="00A0433C" w:rsidRDefault="00493135" w:rsidP="00493135">
      <w:pPr>
        <w:pStyle w:val="SOPBulletC"/>
        <w:numPr>
          <w:ilvl w:val="0"/>
          <w:numId w:val="0"/>
        </w:numPr>
        <w:ind w:left="1701"/>
      </w:pPr>
      <w:r w:rsidRPr="00A0433C">
        <w:t xml:space="preserve">At the REB Chair or designee’s discretion, and subject to applicable regulations, review procedures may be delayed or </w:t>
      </w:r>
      <w:proofErr w:type="gramStart"/>
      <w:r w:rsidRPr="00A0433C">
        <w:t>temporarily suspended</w:t>
      </w:r>
      <w:proofErr w:type="gramEnd"/>
      <w:r w:rsidRPr="00A0433C">
        <w:t xml:space="preserve"> depending upon volume.</w:t>
      </w:r>
    </w:p>
    <w:p w14:paraId="56ED70E0" w14:textId="77777777" w:rsidR="00756C58" w:rsidRPr="00A0433C" w:rsidRDefault="002E18ED" w:rsidP="00493135">
      <w:pPr>
        <w:pStyle w:val="Titre1"/>
        <w:widowControl/>
      </w:pPr>
      <w:bookmarkStart w:id="7" w:name="_Toc151528436"/>
      <w:r w:rsidRPr="00A0433C">
        <w:t>R</w:t>
      </w:r>
      <w:r w:rsidR="00756C58" w:rsidRPr="00A0433C">
        <w:t>eferences</w:t>
      </w:r>
      <w:bookmarkEnd w:id="7"/>
    </w:p>
    <w:p w14:paraId="6E103416" w14:textId="77777777" w:rsidR="00756C58" w:rsidRPr="00A0433C" w:rsidRDefault="00A313CE" w:rsidP="00493135">
      <w:r w:rsidRPr="00A0433C">
        <w:t>See footnotes.</w:t>
      </w:r>
    </w:p>
    <w:p w14:paraId="7EAB33B6" w14:textId="77777777" w:rsidR="00756C58" w:rsidRPr="00A0433C" w:rsidRDefault="002E18ED" w:rsidP="00493135">
      <w:pPr>
        <w:pStyle w:val="Titre1"/>
        <w:widowControl/>
      </w:pPr>
      <w:bookmarkStart w:id="8" w:name="_Toc151528437"/>
      <w:r w:rsidRPr="00A0433C">
        <w:t>R</w:t>
      </w:r>
      <w:r w:rsidR="00756C58" w:rsidRPr="00A0433C">
        <w:t>evision History</w:t>
      </w:r>
      <w:bookmarkEnd w:id="8"/>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A0433C" w14:paraId="66215A28" w14:textId="77777777" w:rsidTr="0030704D">
        <w:tc>
          <w:tcPr>
            <w:tcW w:w="2297" w:type="dxa"/>
            <w:tcBorders>
              <w:right w:val="single" w:sz="4" w:space="0" w:color="auto"/>
            </w:tcBorders>
            <w:shd w:val="clear" w:color="auto" w:fill="auto"/>
            <w:vAlign w:val="center"/>
          </w:tcPr>
          <w:p w14:paraId="08EBD9E9" w14:textId="77777777" w:rsidR="00756C58" w:rsidRPr="00A0433C" w:rsidRDefault="00756C58" w:rsidP="00493135">
            <w:pPr>
              <w:spacing w:before="0" w:after="0"/>
              <w:jc w:val="center"/>
              <w:rPr>
                <w:rFonts w:eastAsia="Calibri"/>
                <w:b/>
              </w:rPr>
            </w:pPr>
            <w:r w:rsidRPr="00A0433C">
              <w:rPr>
                <w:rFonts w:eastAsia="Calibri"/>
                <w:b/>
              </w:rPr>
              <w:t>SOP Code</w:t>
            </w:r>
          </w:p>
        </w:tc>
        <w:tc>
          <w:tcPr>
            <w:tcW w:w="1559" w:type="dxa"/>
            <w:tcBorders>
              <w:left w:val="single" w:sz="4" w:space="0" w:color="auto"/>
              <w:right w:val="single" w:sz="4" w:space="0" w:color="auto"/>
            </w:tcBorders>
            <w:shd w:val="clear" w:color="auto" w:fill="auto"/>
            <w:vAlign w:val="center"/>
          </w:tcPr>
          <w:p w14:paraId="5B137ECF" w14:textId="77777777" w:rsidR="00756C58" w:rsidRPr="00A0433C" w:rsidRDefault="00756C58" w:rsidP="00493135">
            <w:pPr>
              <w:spacing w:before="0" w:after="0"/>
              <w:jc w:val="center"/>
              <w:rPr>
                <w:rFonts w:eastAsia="Calibri"/>
                <w:b/>
              </w:rPr>
            </w:pPr>
            <w:r w:rsidRPr="00A0433C">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5F4A9C3" w14:textId="77777777" w:rsidR="00756C58" w:rsidRPr="00A0433C" w:rsidRDefault="00756C58" w:rsidP="00493135">
            <w:pPr>
              <w:spacing w:before="0" w:after="0"/>
              <w:jc w:val="left"/>
              <w:rPr>
                <w:rFonts w:eastAsia="Calibri"/>
                <w:b/>
              </w:rPr>
            </w:pPr>
            <w:r w:rsidRPr="00A0433C">
              <w:rPr>
                <w:rFonts w:eastAsia="Calibri"/>
                <w:b/>
              </w:rPr>
              <w:t>Summary of Changes</w:t>
            </w:r>
          </w:p>
        </w:tc>
      </w:tr>
      <w:tr w:rsidR="00756C58" w:rsidRPr="00A0433C" w14:paraId="62028E5E" w14:textId="77777777" w:rsidTr="0030704D">
        <w:tc>
          <w:tcPr>
            <w:tcW w:w="2297" w:type="dxa"/>
            <w:tcBorders>
              <w:right w:val="single" w:sz="4" w:space="0" w:color="auto"/>
            </w:tcBorders>
            <w:shd w:val="clear" w:color="auto" w:fill="auto"/>
            <w:vAlign w:val="center"/>
          </w:tcPr>
          <w:p w14:paraId="288C92D7" w14:textId="734C49B4" w:rsidR="00756C58" w:rsidRPr="00A0433C" w:rsidRDefault="00756C58" w:rsidP="00493135">
            <w:pPr>
              <w:spacing w:before="0" w:after="0"/>
              <w:jc w:val="left"/>
              <w:rPr>
                <w:rFonts w:eastAsia="Calibri" w:cs="Arial"/>
              </w:rPr>
            </w:pPr>
            <w:r w:rsidRPr="00A0433C">
              <w:rPr>
                <w:rFonts w:eastAsia="Calibri"/>
              </w:rPr>
              <w:t>REB</w:t>
            </w:r>
            <w:r w:rsidR="00660163" w:rsidRPr="00A0433C">
              <w:rPr>
                <w:rFonts w:eastAsia="Calibri"/>
              </w:rPr>
              <w:t>-</w:t>
            </w:r>
            <w:r w:rsidR="00493135" w:rsidRPr="00A0433C">
              <w:rPr>
                <w:rFonts w:eastAsia="Calibri"/>
              </w:rPr>
              <w:t>SOP 501</w:t>
            </w:r>
            <w:r w:rsidR="00617A66" w:rsidRPr="00A0433C">
              <w:rPr>
                <w:rFonts w:eastAsia="Calibri"/>
              </w:rPr>
              <w:t>-</w:t>
            </w:r>
            <w:r w:rsidR="00493135" w:rsidRPr="00A0433C">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EA0192" w14:textId="5AA81ABA" w:rsidR="00756C58" w:rsidRPr="00A0433C" w:rsidRDefault="00617A66" w:rsidP="00493135">
            <w:pPr>
              <w:spacing w:before="0" w:after="0"/>
              <w:jc w:val="center"/>
              <w:rPr>
                <w:rFonts w:eastAsia="Calibri"/>
              </w:rPr>
            </w:pPr>
            <w:r w:rsidRPr="00A0433C">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34B121C" w14:textId="77777777" w:rsidR="00756C58" w:rsidRPr="00A0433C" w:rsidRDefault="00756C58" w:rsidP="00493135">
            <w:pPr>
              <w:spacing w:before="0" w:after="0"/>
              <w:jc w:val="left"/>
              <w:rPr>
                <w:rFonts w:eastAsia="Calibri"/>
              </w:rPr>
            </w:pPr>
            <w:r w:rsidRPr="00A0433C">
              <w:rPr>
                <w:rFonts w:eastAsia="Calibri"/>
              </w:rPr>
              <w:t xml:space="preserve">Original </w:t>
            </w:r>
            <w:r w:rsidR="00B43B4B" w:rsidRPr="00A0433C">
              <w:rPr>
                <w:rFonts w:eastAsia="Calibri"/>
              </w:rPr>
              <w:t>v</w:t>
            </w:r>
            <w:r w:rsidRPr="00A0433C">
              <w:rPr>
                <w:rFonts w:eastAsia="Calibri"/>
              </w:rPr>
              <w:t>ersion</w:t>
            </w:r>
          </w:p>
        </w:tc>
      </w:tr>
      <w:tr w:rsidR="00617A66" w:rsidRPr="00A0433C" w14:paraId="14962C83" w14:textId="77777777" w:rsidTr="0030704D">
        <w:tc>
          <w:tcPr>
            <w:tcW w:w="2297" w:type="dxa"/>
            <w:tcBorders>
              <w:right w:val="single" w:sz="4" w:space="0" w:color="auto"/>
            </w:tcBorders>
            <w:shd w:val="clear" w:color="auto" w:fill="auto"/>
            <w:vAlign w:val="center"/>
          </w:tcPr>
          <w:p w14:paraId="171C8FF5" w14:textId="7CA7A57E" w:rsidR="00617A66" w:rsidRPr="00A0433C" w:rsidRDefault="00617A66" w:rsidP="00617A66">
            <w:pPr>
              <w:spacing w:before="0" w:after="0"/>
              <w:jc w:val="left"/>
              <w:rPr>
                <w:rFonts w:eastAsia="Calibri"/>
              </w:rPr>
            </w:pPr>
            <w:r w:rsidRPr="00A0433C">
              <w:rPr>
                <w:rFonts w:eastAsia="Calibri"/>
              </w:rPr>
              <w:t>REB-SOP 501-002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CB5B62" w14:textId="11FB3EFF" w:rsidR="00617A66" w:rsidRPr="00A0433C" w:rsidRDefault="00617A66" w:rsidP="00617A66">
            <w:pPr>
              <w:spacing w:before="0" w:after="0"/>
              <w:jc w:val="center"/>
              <w:rPr>
                <w:rFonts w:eastAsia="Calibri"/>
              </w:rPr>
            </w:pPr>
            <w:r w:rsidRPr="00A0433C">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BCEF336" w14:textId="77777777" w:rsidR="00617A66" w:rsidRPr="00A0433C" w:rsidRDefault="00617A66" w:rsidP="00617A66">
            <w:pPr>
              <w:spacing w:before="0" w:after="0"/>
              <w:jc w:val="left"/>
              <w:rPr>
                <w:rFonts w:eastAsia="Calibri"/>
              </w:rPr>
            </w:pPr>
            <w:r w:rsidRPr="00A0433C">
              <w:rPr>
                <w:rFonts w:eastAsia="Calibri"/>
              </w:rPr>
              <w:t xml:space="preserve">Updated in line with regulations in </w:t>
            </w:r>
            <w:proofErr w:type="gramStart"/>
            <w:r w:rsidRPr="00A0433C">
              <w:rPr>
                <w:rFonts w:eastAsia="Calibri"/>
              </w:rPr>
              <w:t>effect</w:t>
            </w:r>
            <w:proofErr w:type="gramEnd"/>
          </w:p>
          <w:p w14:paraId="51393E0D" w14:textId="77777777" w:rsidR="00617A66" w:rsidRPr="00A0433C" w:rsidRDefault="00617A66" w:rsidP="00617A66">
            <w:pPr>
              <w:spacing w:before="0" w:after="0"/>
              <w:jc w:val="left"/>
              <w:rPr>
                <w:rFonts w:eastAsia="Calibri"/>
              </w:rPr>
            </w:pPr>
            <w:r w:rsidRPr="00A0433C">
              <w:rPr>
                <w:rFonts w:eastAsia="Calibri"/>
              </w:rPr>
              <w:t>New numbering</w:t>
            </w:r>
          </w:p>
          <w:p w14:paraId="3D7D8CFA" w14:textId="0DCFC1A6" w:rsidR="00617A66" w:rsidRPr="00A0433C" w:rsidRDefault="00617A66" w:rsidP="00617A66">
            <w:pPr>
              <w:spacing w:before="0" w:after="0"/>
              <w:jc w:val="left"/>
              <w:rPr>
                <w:rFonts w:eastAsia="Calibri"/>
              </w:rPr>
            </w:pPr>
            <w:r w:rsidRPr="00A0433C">
              <w:rPr>
                <w:rFonts w:eastAsia="Calibri"/>
              </w:rPr>
              <w:t>Updated references</w:t>
            </w:r>
          </w:p>
        </w:tc>
      </w:tr>
      <w:tr w:rsidR="00756C58" w:rsidRPr="00A0433C" w14:paraId="0F4514F0" w14:textId="77777777" w:rsidTr="0030704D">
        <w:tc>
          <w:tcPr>
            <w:tcW w:w="2297" w:type="dxa"/>
            <w:tcBorders>
              <w:right w:val="single" w:sz="4" w:space="0" w:color="auto"/>
            </w:tcBorders>
            <w:shd w:val="clear" w:color="auto" w:fill="auto"/>
            <w:vAlign w:val="center"/>
          </w:tcPr>
          <w:p w14:paraId="60366153" w14:textId="77777777" w:rsidR="00756C58" w:rsidRPr="00A0433C" w:rsidRDefault="00756C58" w:rsidP="00493135">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21408EC9" w14:textId="77777777" w:rsidR="00756C58" w:rsidRPr="00A0433C" w:rsidRDefault="00756C58" w:rsidP="00493135">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4B2827F" w14:textId="77777777" w:rsidR="00756C58" w:rsidRPr="00A0433C" w:rsidRDefault="00756C58" w:rsidP="00493135">
            <w:pPr>
              <w:spacing w:before="0" w:after="0"/>
              <w:jc w:val="left"/>
              <w:rPr>
                <w:rFonts w:eastAsia="Calibri"/>
              </w:rPr>
            </w:pPr>
          </w:p>
        </w:tc>
      </w:tr>
    </w:tbl>
    <w:p w14:paraId="6840E3A6" w14:textId="77777777" w:rsidR="00756C58" w:rsidRPr="00A0433C" w:rsidRDefault="002E18ED" w:rsidP="00493135">
      <w:pPr>
        <w:pStyle w:val="Titre1"/>
        <w:widowControl/>
      </w:pPr>
      <w:bookmarkStart w:id="9" w:name="_Toc151528438"/>
      <w:r w:rsidRPr="00A0433C">
        <w:t>Appendices</w:t>
      </w:r>
      <w:bookmarkEnd w:id="9"/>
    </w:p>
    <w:sectPr w:rsidR="00756C58" w:rsidRPr="00A0433C"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5CBC" w14:textId="77777777" w:rsidR="00F25CA9" w:rsidRDefault="00F25CA9" w:rsidP="0030269A">
      <w:pPr>
        <w:spacing w:before="0" w:after="0"/>
      </w:pPr>
      <w:r>
        <w:separator/>
      </w:r>
    </w:p>
  </w:endnote>
  <w:endnote w:type="continuationSeparator" w:id="0">
    <w:p w14:paraId="6C9E36F7" w14:textId="77777777" w:rsidR="00F25CA9" w:rsidRDefault="00F25CA9"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4C49" w14:textId="77777777" w:rsidR="002E18ED" w:rsidRPr="00627E38" w:rsidRDefault="002E18ED" w:rsidP="002E18ED">
    <w:pPr>
      <w:pStyle w:val="Pieddepage"/>
      <w:pBdr>
        <w:bottom w:val="single" w:sz="4" w:space="1" w:color="auto"/>
      </w:pBdr>
      <w:rPr>
        <w:sz w:val="20"/>
        <w:szCs w:val="20"/>
      </w:rPr>
    </w:pPr>
  </w:p>
  <w:p w14:paraId="22AD3C1A" w14:textId="742A630B"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2D671D">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5C13" w14:textId="77777777" w:rsidR="00F25CA9" w:rsidRDefault="00F25CA9" w:rsidP="0030269A">
      <w:pPr>
        <w:spacing w:before="0" w:after="0"/>
      </w:pPr>
      <w:r>
        <w:separator/>
      </w:r>
    </w:p>
  </w:footnote>
  <w:footnote w:type="continuationSeparator" w:id="0">
    <w:p w14:paraId="7989967F" w14:textId="77777777" w:rsidR="00F25CA9" w:rsidRDefault="00F25CA9" w:rsidP="0030269A">
      <w:pPr>
        <w:spacing w:before="0" w:after="0"/>
      </w:pPr>
      <w:r>
        <w:continuationSeparator/>
      </w:r>
    </w:p>
  </w:footnote>
  <w:footnote w:id="1">
    <w:p w14:paraId="612DC137" w14:textId="7BD702EC" w:rsidR="00493135" w:rsidRPr="00F450F1" w:rsidRDefault="00493135" w:rsidP="00493135">
      <w:pPr>
        <w:pStyle w:val="Notedebasdepage"/>
        <w:jc w:val="left"/>
      </w:pPr>
      <w:r w:rsidRPr="001E2749">
        <w:rPr>
          <w:rStyle w:val="Appelnotedebasdep"/>
          <w:rFonts w:cs="Calibri"/>
          <w:sz w:val="18"/>
        </w:rPr>
        <w:footnoteRef/>
      </w:r>
      <w:r w:rsidRPr="004D39CC">
        <w:rPr>
          <w:rFonts w:cs="Calibri"/>
          <w:sz w:val="18"/>
        </w:rPr>
        <w:t xml:space="preserve"> </w:t>
      </w:r>
      <w:r w:rsidRPr="004D39CC">
        <w:rPr>
          <w:rFonts w:cs="Calibri"/>
          <w:sz w:val="18"/>
        </w:rPr>
        <w:tab/>
      </w:r>
      <w:r w:rsidRPr="004D39CC">
        <w:t xml:space="preserve">Canadian Institutes of Health Research, Natural Sciences and Engineering Research Council of Canada, and Social Sciences and Humanities Research Council of Canada, Tri-Council Policy Statement: Ethical Conduct for Research Involving Humans, </w:t>
      </w:r>
      <w:r w:rsidR="001218C3">
        <w:t>December</w:t>
      </w:r>
      <w:r w:rsidR="00D04B46">
        <w:t xml:space="preserve"> 2018, hereafter “</w:t>
      </w:r>
      <w:r w:rsidRPr="00F450F1">
        <w:t>TCPS2</w:t>
      </w:r>
      <w:r w:rsidR="00D04B46">
        <w:t>”</w:t>
      </w:r>
      <w:r w:rsidRPr="00EB42BA">
        <w:rPr>
          <w:rFonts w:cs="Calibri"/>
        </w:rPr>
        <w:t>,</w:t>
      </w:r>
      <w:r w:rsidR="00DD6FFC">
        <w:rPr>
          <w:rFonts w:cs="Calibri"/>
        </w:rPr>
        <w:t xml:space="preserve"> </w:t>
      </w:r>
      <w:r w:rsidR="00D04B46">
        <w:rPr>
          <w:rFonts w:cs="Calibri"/>
        </w:rPr>
        <w:t>c. 6, under D</w:t>
      </w:r>
      <w:r w:rsidRPr="00EB42BA">
        <w:rPr>
          <w:rFonts w:cs="Calibri"/>
        </w:rPr>
        <w:t>.</w:t>
      </w:r>
    </w:p>
  </w:footnote>
  <w:footnote w:id="2">
    <w:p w14:paraId="6B1DDFF9" w14:textId="20EBA36D" w:rsidR="00D04B46" w:rsidRPr="005B62C3" w:rsidRDefault="00D04B46">
      <w:pPr>
        <w:pStyle w:val="Notedebasdepage"/>
        <w:rPr>
          <w:i/>
          <w:iCs/>
        </w:rPr>
      </w:pPr>
      <w:r>
        <w:rPr>
          <w:rStyle w:val="Appelnotedebasdep"/>
        </w:rPr>
        <w:footnoteRef/>
      </w:r>
      <w:r>
        <w:t xml:space="preserve"> </w:t>
      </w:r>
      <w:r>
        <w:tab/>
        <w:t xml:space="preserve">TCPS2, </w:t>
      </w:r>
      <w:r>
        <w:rPr>
          <w:i/>
          <w:iCs/>
        </w:rPr>
        <w:t>Ibid.</w:t>
      </w:r>
    </w:p>
  </w:footnote>
  <w:footnote w:id="3">
    <w:p w14:paraId="335A339F" w14:textId="233D593B" w:rsidR="00493135" w:rsidRPr="004D39CC" w:rsidRDefault="00493135" w:rsidP="00493135">
      <w:pPr>
        <w:pStyle w:val="Notedebasdepage"/>
        <w:jc w:val="left"/>
      </w:pPr>
      <w:r w:rsidRPr="004D39CC">
        <w:rPr>
          <w:rStyle w:val="Appelnotedebasdep"/>
          <w:rFonts w:cs="Calibri"/>
        </w:rPr>
        <w:footnoteRef/>
      </w:r>
      <w:r w:rsidRPr="004D39CC">
        <w:rPr>
          <w:rFonts w:cs="Calibri"/>
        </w:rPr>
        <w:t xml:space="preserve"> </w:t>
      </w:r>
      <w:r w:rsidRPr="004D39CC">
        <w:rPr>
          <w:rFonts w:cs="Calibri"/>
        </w:rPr>
        <w:tab/>
        <w:t>TCPS2</w:t>
      </w:r>
      <w:r w:rsidRPr="00EB42BA">
        <w:rPr>
          <w:rFonts w:cs="Calibri"/>
        </w:rPr>
        <w:t xml:space="preserve">, </w:t>
      </w:r>
      <w:r w:rsidR="00D04B46">
        <w:rPr>
          <w:rFonts w:cs="Calibri"/>
        </w:rPr>
        <w:t>Application under art. 6.23</w:t>
      </w:r>
      <w:r w:rsidRPr="00EB42BA">
        <w:rPr>
          <w:rFonts w:cs="Calibri"/>
        </w:rPr>
        <w:t>.</w:t>
      </w:r>
    </w:p>
  </w:footnote>
  <w:footnote w:id="4">
    <w:p w14:paraId="5EEE7181" w14:textId="77777777" w:rsidR="00493135" w:rsidRPr="004D39CC" w:rsidRDefault="00493135" w:rsidP="00493135">
      <w:pPr>
        <w:pStyle w:val="Notedebasdepage"/>
        <w:jc w:val="left"/>
      </w:pPr>
      <w:r w:rsidRPr="004D39CC">
        <w:rPr>
          <w:rStyle w:val="Appelnotedebasdep"/>
          <w:rFonts w:cs="Calibri"/>
        </w:rPr>
        <w:footnoteRef/>
      </w:r>
      <w:r w:rsidRPr="00EB42BA">
        <w:rPr>
          <w:rFonts w:cs="Calibri"/>
        </w:rPr>
        <w:t xml:space="preserve"> </w:t>
      </w:r>
      <w:r w:rsidRPr="00EB42BA">
        <w:rPr>
          <w:rFonts w:cs="Calibri"/>
        </w:rPr>
        <w:tab/>
      </w:r>
      <w:r w:rsidRPr="004D39CC">
        <w:rPr>
          <w:rFonts w:cs="Calibri"/>
        </w:rPr>
        <w:t>TCPS2</w:t>
      </w:r>
      <w:r w:rsidRPr="00EB42BA">
        <w:rPr>
          <w:rFonts w:cs="Calibri"/>
        </w:rPr>
        <w:t>, art. 6.21.</w:t>
      </w:r>
    </w:p>
  </w:footnote>
  <w:footnote w:id="5">
    <w:p w14:paraId="7C855074" w14:textId="5D21561A" w:rsidR="00493135" w:rsidRPr="00EB42BA" w:rsidRDefault="00493135" w:rsidP="00493135">
      <w:pPr>
        <w:pStyle w:val="Notedebasdepage"/>
        <w:jc w:val="left"/>
      </w:pPr>
      <w:r w:rsidRPr="00EB42BA">
        <w:rPr>
          <w:rStyle w:val="Appelnotedebasdep"/>
          <w:rFonts w:cs="Calibri"/>
        </w:rPr>
        <w:footnoteRef/>
      </w:r>
      <w:r w:rsidRPr="00EB42BA">
        <w:rPr>
          <w:rFonts w:cs="Calibri"/>
        </w:rPr>
        <w:t xml:space="preserve"> </w:t>
      </w:r>
      <w:r w:rsidRPr="00EB42BA">
        <w:rPr>
          <w:rFonts w:cs="Calibri"/>
        </w:rPr>
        <w:tab/>
      </w:r>
      <w:r w:rsidRPr="004D39CC">
        <w:rPr>
          <w:rFonts w:cs="Calibri"/>
        </w:rPr>
        <w:t>TCPS2</w:t>
      </w:r>
      <w:r w:rsidRPr="00EB42BA">
        <w:rPr>
          <w:rFonts w:cs="Calibri"/>
        </w:rPr>
        <w:t xml:space="preserve">, </w:t>
      </w:r>
      <w:r w:rsidR="00D04B46">
        <w:rPr>
          <w:rFonts w:cs="Calibri"/>
        </w:rPr>
        <w:t xml:space="preserve">Application under </w:t>
      </w:r>
      <w:r w:rsidRPr="00EB42BA">
        <w:rPr>
          <w:rFonts w:cs="Calibri"/>
        </w:rPr>
        <w:t xml:space="preserve">art. </w:t>
      </w:r>
      <w:r w:rsidR="00D04B46">
        <w:rPr>
          <w:rFonts w:cs="Calibri"/>
        </w:rPr>
        <w:t xml:space="preserve">6.21 and </w:t>
      </w:r>
      <w:r w:rsidRPr="00EB42BA">
        <w:rPr>
          <w:rFonts w:cs="Calibri"/>
        </w:rPr>
        <w:t>6.23.</w:t>
      </w:r>
    </w:p>
  </w:footnote>
  <w:footnote w:id="6">
    <w:p w14:paraId="216C763E" w14:textId="77777777" w:rsidR="00493135" w:rsidRPr="00921052" w:rsidRDefault="00493135" w:rsidP="00493135">
      <w:pPr>
        <w:pStyle w:val="Notedebasdepage"/>
        <w:jc w:val="left"/>
        <w:rPr>
          <w:lang w:val="en-US"/>
        </w:rPr>
      </w:pPr>
      <w:r w:rsidRPr="004D39CC">
        <w:rPr>
          <w:rStyle w:val="Appelnotedebasdep"/>
          <w:rFonts w:cs="Calibri"/>
        </w:rPr>
        <w:footnoteRef/>
      </w:r>
      <w:r w:rsidRPr="00921052">
        <w:rPr>
          <w:rFonts w:cs="Calibri"/>
          <w:lang w:val="en-US"/>
        </w:rPr>
        <w:t xml:space="preserve"> </w:t>
      </w:r>
      <w:r w:rsidRPr="00921052">
        <w:rPr>
          <w:rFonts w:cs="Calibri"/>
          <w:lang w:val="en-US"/>
        </w:rPr>
        <w:tab/>
        <w:t>TCPS2, art. 6.22.</w:t>
      </w:r>
    </w:p>
  </w:footnote>
  <w:footnote w:id="7">
    <w:p w14:paraId="7A09D20D" w14:textId="2AB46219" w:rsidR="000E0947" w:rsidRDefault="000E0947" w:rsidP="000E0947">
      <w:pPr>
        <w:pStyle w:val="Notedebasdepage"/>
      </w:pPr>
      <w:r>
        <w:rPr>
          <w:rStyle w:val="Appelnotedebasdep"/>
        </w:rPr>
        <w:footnoteRef/>
      </w:r>
      <w:r>
        <w:t xml:space="preserve"> </w:t>
      </w:r>
      <w:r>
        <w:tab/>
      </w:r>
      <w:r w:rsidRPr="004679BE">
        <w:rPr>
          <w:i/>
          <w:iCs/>
        </w:rPr>
        <w:t>Avis sur les conditions d’exercice des comités d’éthique de la recherche désignés ou institués par le ministre de la Santé et des Services sociaux en vertu de l’article 21 du Code civil</w:t>
      </w:r>
      <w:r w:rsidRPr="004679BE">
        <w:t xml:space="preserve">, </w:t>
      </w:r>
      <w:r w:rsidRPr="00417808">
        <w:rPr>
          <w:i/>
          <w:iCs/>
        </w:rPr>
        <w:t>Gazette officielle du Québec</w:t>
      </w:r>
      <w:r w:rsidRPr="004679BE">
        <w:t>, Part I, vol. 35, 1998, p. 1039</w:t>
      </w:r>
      <w:r>
        <w:t xml:space="preserve">; Guidance Document: Good Clinical Practice: Integrated Addendum to E6(R1) ICH Topic E6(R2), Health Canada, April 2019, s. 3.2.6; </w:t>
      </w:r>
      <w:r w:rsidRPr="001351BE">
        <w:t xml:space="preserve">Operational Guidelines for Ethics Committees that Review Biomedical Research, World Health Organization (WHO), 2000, s. </w:t>
      </w:r>
      <w:r>
        <w:t>4.6.</w:t>
      </w:r>
    </w:p>
  </w:footnote>
  <w:footnote w:id="8">
    <w:p w14:paraId="5900E4FD" w14:textId="77777777" w:rsidR="00493135" w:rsidRPr="00921052" w:rsidRDefault="00493135" w:rsidP="00493135">
      <w:pPr>
        <w:pStyle w:val="Notedebasdepage"/>
        <w:rPr>
          <w:lang w:val="en-US"/>
        </w:rPr>
      </w:pPr>
      <w:r w:rsidRPr="007D50BF">
        <w:rPr>
          <w:rStyle w:val="Appelnotedebasdep"/>
          <w:rFonts w:cs="Calibri"/>
        </w:rPr>
        <w:footnoteRef/>
      </w:r>
      <w:r w:rsidRPr="00921052">
        <w:rPr>
          <w:rFonts w:cs="Calibri"/>
          <w:lang w:val="en-US"/>
        </w:rPr>
        <w:t xml:space="preserve"> </w:t>
      </w:r>
      <w:r w:rsidRPr="00921052">
        <w:rPr>
          <w:rFonts w:cs="Calibri"/>
          <w:lang w:val="en-US"/>
        </w:rPr>
        <w:tab/>
        <w:t>TCPS2, art. 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C4EC"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08BD0935" w14:textId="77777777" w:rsidTr="58B8826E">
      <w:trPr>
        <w:trHeight w:val="567"/>
      </w:trPr>
      <w:tc>
        <w:tcPr>
          <w:tcW w:w="4957" w:type="dxa"/>
          <w:vMerge w:val="restart"/>
          <w:tcBorders>
            <w:right w:val="single" w:sz="4" w:space="0" w:color="auto"/>
          </w:tcBorders>
          <w:shd w:val="clear" w:color="auto" w:fill="auto"/>
          <w:vAlign w:val="center"/>
        </w:tcPr>
        <w:p w14:paraId="43165505" w14:textId="795A7909"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4AC87F00" w14:textId="7823CDF5" w:rsidR="0030269A" w:rsidRPr="00D0004E" w:rsidRDefault="58B8826E" w:rsidP="58B8826E">
          <w:pPr>
            <w:spacing w:before="0" w:after="0"/>
            <w:jc w:val="right"/>
            <w:rPr>
              <w:sz w:val="32"/>
              <w:szCs w:val="32"/>
              <w:lang w:val="en-US"/>
            </w:rPr>
          </w:pPr>
          <w:r w:rsidRPr="58B8826E">
            <w:rPr>
              <w:sz w:val="32"/>
              <w:szCs w:val="32"/>
              <w:lang w:val="en-US"/>
            </w:rPr>
            <w:t>REB-</w:t>
          </w:r>
          <w:r w:rsidR="00493135">
            <w:rPr>
              <w:sz w:val="32"/>
              <w:szCs w:val="32"/>
              <w:lang w:val="en-US"/>
            </w:rPr>
            <w:t>SOP 501</w:t>
          </w:r>
          <w:r w:rsidR="002D671D">
            <w:rPr>
              <w:sz w:val="32"/>
              <w:szCs w:val="32"/>
              <w:lang w:val="en-US"/>
            </w:rPr>
            <w:t>-002</w:t>
          </w:r>
        </w:p>
      </w:tc>
    </w:tr>
    <w:tr w:rsidR="0030269A" w:rsidRPr="005A11F5" w14:paraId="40640B1C" w14:textId="77777777" w:rsidTr="58B8826E">
      <w:trPr>
        <w:trHeight w:val="567"/>
      </w:trPr>
      <w:tc>
        <w:tcPr>
          <w:tcW w:w="4957" w:type="dxa"/>
          <w:vMerge/>
        </w:tcPr>
        <w:p w14:paraId="5716E070"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23AD0CA5" w14:textId="77777777" w:rsidR="0030269A" w:rsidRPr="002F7EC5" w:rsidRDefault="0030269A" w:rsidP="0030269A">
          <w:pPr>
            <w:spacing w:before="0" w:after="0"/>
            <w:jc w:val="right"/>
            <w:rPr>
              <w:lang w:val="en-US"/>
            </w:rPr>
          </w:pPr>
          <w:r w:rsidRPr="002F7EC5">
            <w:rPr>
              <w:lang w:val="en-US"/>
            </w:rPr>
            <w:t>Research Ethics Board</w:t>
          </w:r>
        </w:p>
        <w:p w14:paraId="40CAD542" w14:textId="77777777" w:rsidR="0030269A" w:rsidRPr="002F7EC5" w:rsidRDefault="0030269A" w:rsidP="0030269A">
          <w:pPr>
            <w:spacing w:before="0" w:after="0"/>
            <w:jc w:val="right"/>
            <w:rPr>
              <w:lang w:val="en-US"/>
            </w:rPr>
          </w:pPr>
          <w:r w:rsidRPr="002F7EC5">
            <w:rPr>
              <w:lang w:val="en-US"/>
            </w:rPr>
            <w:t>Standard Operating Procedure</w:t>
          </w:r>
        </w:p>
      </w:tc>
    </w:tr>
  </w:tbl>
  <w:p w14:paraId="590B0B9C" w14:textId="77777777" w:rsidR="0030269A" w:rsidRPr="002F7EC5" w:rsidRDefault="0030269A" w:rsidP="0030269A">
    <w:pPr>
      <w:pStyle w:val="En-tte"/>
      <w:rPr>
        <w:lang w:val="en-US"/>
      </w:rPr>
    </w:pPr>
  </w:p>
  <w:p w14:paraId="17C942BB"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F5ADF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F67C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F84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EE19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918F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BD736A"/>
    <w:multiLevelType w:val="multilevel"/>
    <w:tmpl w:val="15E2DDD2"/>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25"/>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144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176430D"/>
    <w:multiLevelType w:val="hybridMultilevel"/>
    <w:tmpl w:val="15CEE422"/>
    <w:lvl w:ilvl="0" w:tplc="1FB26268">
      <w:start w:val="1"/>
      <w:numFmt w:val="bullet"/>
      <w:lvlText w:val=""/>
      <w:lvlJc w:val="left"/>
      <w:pPr>
        <w:tabs>
          <w:tab w:val="num" w:pos="1800"/>
        </w:tabs>
        <w:ind w:left="1800" w:hanging="360"/>
      </w:pPr>
      <w:rPr>
        <w:rFonts w:ascii="Symbol" w:hAnsi="Symbol" w:hint="default"/>
        <w:color w:val="auto"/>
      </w:rPr>
    </w:lvl>
    <w:lvl w:ilvl="1" w:tplc="10090003" w:tentative="1">
      <w:start w:val="1"/>
      <w:numFmt w:val="bullet"/>
      <w:lvlText w:val="o"/>
      <w:lvlJc w:val="left"/>
      <w:pPr>
        <w:tabs>
          <w:tab w:val="num" w:pos="3240"/>
        </w:tabs>
        <w:ind w:left="3240" w:hanging="360"/>
      </w:pPr>
      <w:rPr>
        <w:rFonts w:ascii="Courier New" w:hAnsi="Courier New" w:cs="Courier New" w:hint="default"/>
      </w:rPr>
    </w:lvl>
    <w:lvl w:ilvl="2" w:tplc="10090005" w:tentative="1">
      <w:start w:val="1"/>
      <w:numFmt w:val="bullet"/>
      <w:lvlText w:val=""/>
      <w:lvlJc w:val="left"/>
      <w:pPr>
        <w:tabs>
          <w:tab w:val="num" w:pos="3960"/>
        </w:tabs>
        <w:ind w:left="3960" w:hanging="360"/>
      </w:pPr>
      <w:rPr>
        <w:rFonts w:ascii="Wingdings" w:hAnsi="Wingdings" w:hint="default"/>
      </w:rPr>
    </w:lvl>
    <w:lvl w:ilvl="3" w:tplc="10090001" w:tentative="1">
      <w:start w:val="1"/>
      <w:numFmt w:val="bullet"/>
      <w:lvlText w:val=""/>
      <w:lvlJc w:val="left"/>
      <w:pPr>
        <w:tabs>
          <w:tab w:val="num" w:pos="4680"/>
        </w:tabs>
        <w:ind w:left="4680" w:hanging="360"/>
      </w:pPr>
      <w:rPr>
        <w:rFonts w:ascii="Symbol" w:hAnsi="Symbol" w:hint="default"/>
      </w:rPr>
    </w:lvl>
    <w:lvl w:ilvl="4" w:tplc="10090003" w:tentative="1">
      <w:start w:val="1"/>
      <w:numFmt w:val="bullet"/>
      <w:lvlText w:val="o"/>
      <w:lvlJc w:val="left"/>
      <w:pPr>
        <w:tabs>
          <w:tab w:val="num" w:pos="5400"/>
        </w:tabs>
        <w:ind w:left="5400" w:hanging="360"/>
      </w:pPr>
      <w:rPr>
        <w:rFonts w:ascii="Courier New" w:hAnsi="Courier New" w:cs="Courier New" w:hint="default"/>
      </w:rPr>
    </w:lvl>
    <w:lvl w:ilvl="5" w:tplc="10090005" w:tentative="1">
      <w:start w:val="1"/>
      <w:numFmt w:val="bullet"/>
      <w:lvlText w:val=""/>
      <w:lvlJc w:val="left"/>
      <w:pPr>
        <w:tabs>
          <w:tab w:val="num" w:pos="6120"/>
        </w:tabs>
        <w:ind w:left="6120" w:hanging="360"/>
      </w:pPr>
      <w:rPr>
        <w:rFonts w:ascii="Wingdings" w:hAnsi="Wingdings" w:hint="default"/>
      </w:rPr>
    </w:lvl>
    <w:lvl w:ilvl="6" w:tplc="10090001" w:tentative="1">
      <w:start w:val="1"/>
      <w:numFmt w:val="bullet"/>
      <w:lvlText w:val=""/>
      <w:lvlJc w:val="left"/>
      <w:pPr>
        <w:tabs>
          <w:tab w:val="num" w:pos="6840"/>
        </w:tabs>
        <w:ind w:left="6840" w:hanging="360"/>
      </w:pPr>
      <w:rPr>
        <w:rFonts w:ascii="Symbol" w:hAnsi="Symbol" w:hint="default"/>
      </w:rPr>
    </w:lvl>
    <w:lvl w:ilvl="7" w:tplc="10090003" w:tentative="1">
      <w:start w:val="1"/>
      <w:numFmt w:val="bullet"/>
      <w:lvlText w:val="o"/>
      <w:lvlJc w:val="left"/>
      <w:pPr>
        <w:tabs>
          <w:tab w:val="num" w:pos="7560"/>
        </w:tabs>
        <w:ind w:left="7560" w:hanging="360"/>
      </w:pPr>
      <w:rPr>
        <w:rFonts w:ascii="Courier New" w:hAnsi="Courier New" w:cs="Courier New" w:hint="default"/>
      </w:rPr>
    </w:lvl>
    <w:lvl w:ilvl="8" w:tplc="10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B3715A1"/>
    <w:multiLevelType w:val="multilevel"/>
    <w:tmpl w:val="040C001D"/>
    <w:numStyleLink w:val="SOPListeHyrarchise"/>
  </w:abstractNum>
  <w:abstractNum w:abstractNumId="23" w15:restartNumberingAfterBreak="0">
    <w:nsid w:val="5BC43815"/>
    <w:multiLevelType w:val="hybridMultilevel"/>
    <w:tmpl w:val="739808AC"/>
    <w:lvl w:ilvl="0" w:tplc="1FB26268">
      <w:start w:val="1"/>
      <w:numFmt w:val="bullet"/>
      <w:lvlText w:val=""/>
      <w:lvlJc w:val="left"/>
      <w:pPr>
        <w:tabs>
          <w:tab w:val="num" w:pos="1208"/>
        </w:tabs>
        <w:ind w:left="1208" w:hanging="360"/>
      </w:pPr>
      <w:rPr>
        <w:rFonts w:ascii="Symbol" w:hAnsi="Symbol" w:hint="default"/>
        <w:color w:val="auto"/>
      </w:rPr>
    </w:lvl>
    <w:lvl w:ilvl="1" w:tplc="10090003" w:tentative="1">
      <w:start w:val="1"/>
      <w:numFmt w:val="bullet"/>
      <w:lvlText w:val="o"/>
      <w:lvlJc w:val="left"/>
      <w:pPr>
        <w:tabs>
          <w:tab w:val="num" w:pos="2648"/>
        </w:tabs>
        <w:ind w:left="2648" w:hanging="360"/>
      </w:pPr>
      <w:rPr>
        <w:rFonts w:ascii="Courier New" w:hAnsi="Courier New" w:cs="Courier New" w:hint="default"/>
      </w:rPr>
    </w:lvl>
    <w:lvl w:ilvl="2" w:tplc="10090005" w:tentative="1">
      <w:start w:val="1"/>
      <w:numFmt w:val="bullet"/>
      <w:lvlText w:val=""/>
      <w:lvlJc w:val="left"/>
      <w:pPr>
        <w:tabs>
          <w:tab w:val="num" w:pos="3368"/>
        </w:tabs>
        <w:ind w:left="3368" w:hanging="360"/>
      </w:pPr>
      <w:rPr>
        <w:rFonts w:ascii="Wingdings" w:hAnsi="Wingdings" w:hint="default"/>
      </w:rPr>
    </w:lvl>
    <w:lvl w:ilvl="3" w:tplc="10090001" w:tentative="1">
      <w:start w:val="1"/>
      <w:numFmt w:val="bullet"/>
      <w:lvlText w:val=""/>
      <w:lvlJc w:val="left"/>
      <w:pPr>
        <w:tabs>
          <w:tab w:val="num" w:pos="4088"/>
        </w:tabs>
        <w:ind w:left="4088" w:hanging="360"/>
      </w:pPr>
      <w:rPr>
        <w:rFonts w:ascii="Symbol" w:hAnsi="Symbol" w:hint="default"/>
      </w:rPr>
    </w:lvl>
    <w:lvl w:ilvl="4" w:tplc="10090003" w:tentative="1">
      <w:start w:val="1"/>
      <w:numFmt w:val="bullet"/>
      <w:lvlText w:val="o"/>
      <w:lvlJc w:val="left"/>
      <w:pPr>
        <w:tabs>
          <w:tab w:val="num" w:pos="4808"/>
        </w:tabs>
        <w:ind w:left="4808" w:hanging="360"/>
      </w:pPr>
      <w:rPr>
        <w:rFonts w:ascii="Courier New" w:hAnsi="Courier New" w:cs="Courier New" w:hint="default"/>
      </w:rPr>
    </w:lvl>
    <w:lvl w:ilvl="5" w:tplc="10090005" w:tentative="1">
      <w:start w:val="1"/>
      <w:numFmt w:val="bullet"/>
      <w:lvlText w:val=""/>
      <w:lvlJc w:val="left"/>
      <w:pPr>
        <w:tabs>
          <w:tab w:val="num" w:pos="5528"/>
        </w:tabs>
        <w:ind w:left="5528" w:hanging="360"/>
      </w:pPr>
      <w:rPr>
        <w:rFonts w:ascii="Wingdings" w:hAnsi="Wingdings" w:hint="default"/>
      </w:rPr>
    </w:lvl>
    <w:lvl w:ilvl="6" w:tplc="10090001" w:tentative="1">
      <w:start w:val="1"/>
      <w:numFmt w:val="bullet"/>
      <w:lvlText w:val=""/>
      <w:lvlJc w:val="left"/>
      <w:pPr>
        <w:tabs>
          <w:tab w:val="num" w:pos="6248"/>
        </w:tabs>
        <w:ind w:left="6248" w:hanging="360"/>
      </w:pPr>
      <w:rPr>
        <w:rFonts w:ascii="Symbol" w:hAnsi="Symbol" w:hint="default"/>
      </w:rPr>
    </w:lvl>
    <w:lvl w:ilvl="7" w:tplc="10090003" w:tentative="1">
      <w:start w:val="1"/>
      <w:numFmt w:val="bullet"/>
      <w:lvlText w:val="o"/>
      <w:lvlJc w:val="left"/>
      <w:pPr>
        <w:tabs>
          <w:tab w:val="num" w:pos="6968"/>
        </w:tabs>
        <w:ind w:left="6968" w:hanging="360"/>
      </w:pPr>
      <w:rPr>
        <w:rFonts w:ascii="Courier New" w:hAnsi="Courier New" w:cs="Courier New" w:hint="default"/>
      </w:rPr>
    </w:lvl>
    <w:lvl w:ilvl="8" w:tplc="10090005" w:tentative="1">
      <w:start w:val="1"/>
      <w:numFmt w:val="bullet"/>
      <w:lvlText w:val=""/>
      <w:lvlJc w:val="left"/>
      <w:pPr>
        <w:tabs>
          <w:tab w:val="num" w:pos="7688"/>
        </w:tabs>
        <w:ind w:left="7688" w:hanging="360"/>
      </w:pPr>
      <w:rPr>
        <w:rFonts w:ascii="Wingdings" w:hAnsi="Wingdings" w:hint="default"/>
      </w:rPr>
    </w:lvl>
  </w:abstractNum>
  <w:abstractNum w:abstractNumId="24"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7B063B"/>
    <w:multiLevelType w:val="hybridMultilevel"/>
    <w:tmpl w:val="7B446D7E"/>
    <w:lvl w:ilvl="0" w:tplc="1FB26268">
      <w:start w:val="1"/>
      <w:numFmt w:val="bullet"/>
      <w:lvlText w:val=""/>
      <w:lvlJc w:val="left"/>
      <w:pPr>
        <w:tabs>
          <w:tab w:val="num" w:pos="1800"/>
        </w:tabs>
        <w:ind w:left="1800" w:hanging="360"/>
      </w:pPr>
      <w:rPr>
        <w:rFonts w:ascii="Symbol" w:hAnsi="Symbol" w:hint="default"/>
        <w:color w:val="auto"/>
      </w:rPr>
    </w:lvl>
    <w:lvl w:ilvl="1" w:tplc="10090003" w:tentative="1">
      <w:start w:val="1"/>
      <w:numFmt w:val="bullet"/>
      <w:lvlText w:val="o"/>
      <w:lvlJc w:val="left"/>
      <w:pPr>
        <w:tabs>
          <w:tab w:val="num" w:pos="3240"/>
        </w:tabs>
        <w:ind w:left="3240" w:hanging="360"/>
      </w:pPr>
      <w:rPr>
        <w:rFonts w:ascii="Courier New" w:hAnsi="Courier New" w:cs="Courier New" w:hint="default"/>
      </w:rPr>
    </w:lvl>
    <w:lvl w:ilvl="2" w:tplc="10090005" w:tentative="1">
      <w:start w:val="1"/>
      <w:numFmt w:val="bullet"/>
      <w:lvlText w:val=""/>
      <w:lvlJc w:val="left"/>
      <w:pPr>
        <w:tabs>
          <w:tab w:val="num" w:pos="3960"/>
        </w:tabs>
        <w:ind w:left="3960" w:hanging="360"/>
      </w:pPr>
      <w:rPr>
        <w:rFonts w:ascii="Wingdings" w:hAnsi="Wingdings" w:hint="default"/>
      </w:rPr>
    </w:lvl>
    <w:lvl w:ilvl="3" w:tplc="10090001" w:tentative="1">
      <w:start w:val="1"/>
      <w:numFmt w:val="bullet"/>
      <w:lvlText w:val=""/>
      <w:lvlJc w:val="left"/>
      <w:pPr>
        <w:tabs>
          <w:tab w:val="num" w:pos="4680"/>
        </w:tabs>
        <w:ind w:left="4680" w:hanging="360"/>
      </w:pPr>
      <w:rPr>
        <w:rFonts w:ascii="Symbol" w:hAnsi="Symbol" w:hint="default"/>
      </w:rPr>
    </w:lvl>
    <w:lvl w:ilvl="4" w:tplc="10090003" w:tentative="1">
      <w:start w:val="1"/>
      <w:numFmt w:val="bullet"/>
      <w:lvlText w:val="o"/>
      <w:lvlJc w:val="left"/>
      <w:pPr>
        <w:tabs>
          <w:tab w:val="num" w:pos="5400"/>
        </w:tabs>
        <w:ind w:left="5400" w:hanging="360"/>
      </w:pPr>
      <w:rPr>
        <w:rFonts w:ascii="Courier New" w:hAnsi="Courier New" w:cs="Courier New" w:hint="default"/>
      </w:rPr>
    </w:lvl>
    <w:lvl w:ilvl="5" w:tplc="10090005" w:tentative="1">
      <w:start w:val="1"/>
      <w:numFmt w:val="bullet"/>
      <w:lvlText w:val=""/>
      <w:lvlJc w:val="left"/>
      <w:pPr>
        <w:tabs>
          <w:tab w:val="num" w:pos="6120"/>
        </w:tabs>
        <w:ind w:left="6120" w:hanging="360"/>
      </w:pPr>
      <w:rPr>
        <w:rFonts w:ascii="Wingdings" w:hAnsi="Wingdings" w:hint="default"/>
      </w:rPr>
    </w:lvl>
    <w:lvl w:ilvl="6" w:tplc="10090001" w:tentative="1">
      <w:start w:val="1"/>
      <w:numFmt w:val="bullet"/>
      <w:lvlText w:val=""/>
      <w:lvlJc w:val="left"/>
      <w:pPr>
        <w:tabs>
          <w:tab w:val="num" w:pos="6840"/>
        </w:tabs>
        <w:ind w:left="6840" w:hanging="360"/>
      </w:pPr>
      <w:rPr>
        <w:rFonts w:ascii="Symbol" w:hAnsi="Symbol" w:hint="default"/>
      </w:rPr>
    </w:lvl>
    <w:lvl w:ilvl="7" w:tplc="10090003" w:tentative="1">
      <w:start w:val="1"/>
      <w:numFmt w:val="bullet"/>
      <w:lvlText w:val="o"/>
      <w:lvlJc w:val="left"/>
      <w:pPr>
        <w:tabs>
          <w:tab w:val="num" w:pos="7560"/>
        </w:tabs>
        <w:ind w:left="7560" w:hanging="360"/>
      </w:pPr>
      <w:rPr>
        <w:rFonts w:ascii="Courier New" w:hAnsi="Courier New" w:cs="Courier New" w:hint="default"/>
      </w:rPr>
    </w:lvl>
    <w:lvl w:ilvl="8" w:tplc="10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7" w15:restartNumberingAfterBreak="0">
    <w:nsid w:val="7E2B0E34"/>
    <w:multiLevelType w:val="hybridMultilevel"/>
    <w:tmpl w:val="29B2FD5A"/>
    <w:lvl w:ilvl="0" w:tplc="1FB26268">
      <w:start w:val="1"/>
      <w:numFmt w:val="bullet"/>
      <w:lvlText w:val=""/>
      <w:lvlJc w:val="left"/>
      <w:pPr>
        <w:tabs>
          <w:tab w:val="num" w:pos="1800"/>
        </w:tabs>
        <w:ind w:left="1800" w:hanging="360"/>
      </w:pPr>
      <w:rPr>
        <w:rFonts w:ascii="Symbol" w:hAnsi="Symbol" w:hint="default"/>
        <w:color w:val="auto"/>
      </w:rPr>
    </w:lvl>
    <w:lvl w:ilvl="1" w:tplc="10090003">
      <w:start w:val="1"/>
      <w:numFmt w:val="bullet"/>
      <w:lvlText w:val="o"/>
      <w:lvlJc w:val="left"/>
      <w:pPr>
        <w:tabs>
          <w:tab w:val="num" w:pos="3240"/>
        </w:tabs>
        <w:ind w:left="3240" w:hanging="360"/>
      </w:pPr>
      <w:rPr>
        <w:rFonts w:ascii="Courier New" w:hAnsi="Courier New" w:cs="Courier New" w:hint="default"/>
      </w:rPr>
    </w:lvl>
    <w:lvl w:ilvl="2" w:tplc="10090005" w:tentative="1">
      <w:start w:val="1"/>
      <w:numFmt w:val="bullet"/>
      <w:lvlText w:val=""/>
      <w:lvlJc w:val="left"/>
      <w:pPr>
        <w:tabs>
          <w:tab w:val="num" w:pos="3960"/>
        </w:tabs>
        <w:ind w:left="3960" w:hanging="360"/>
      </w:pPr>
      <w:rPr>
        <w:rFonts w:ascii="Wingdings" w:hAnsi="Wingdings" w:hint="default"/>
      </w:rPr>
    </w:lvl>
    <w:lvl w:ilvl="3" w:tplc="10090001" w:tentative="1">
      <w:start w:val="1"/>
      <w:numFmt w:val="bullet"/>
      <w:lvlText w:val=""/>
      <w:lvlJc w:val="left"/>
      <w:pPr>
        <w:tabs>
          <w:tab w:val="num" w:pos="4680"/>
        </w:tabs>
        <w:ind w:left="4680" w:hanging="360"/>
      </w:pPr>
      <w:rPr>
        <w:rFonts w:ascii="Symbol" w:hAnsi="Symbol" w:hint="default"/>
      </w:rPr>
    </w:lvl>
    <w:lvl w:ilvl="4" w:tplc="10090003" w:tentative="1">
      <w:start w:val="1"/>
      <w:numFmt w:val="bullet"/>
      <w:lvlText w:val="o"/>
      <w:lvlJc w:val="left"/>
      <w:pPr>
        <w:tabs>
          <w:tab w:val="num" w:pos="5400"/>
        </w:tabs>
        <w:ind w:left="5400" w:hanging="360"/>
      </w:pPr>
      <w:rPr>
        <w:rFonts w:ascii="Courier New" w:hAnsi="Courier New" w:cs="Courier New" w:hint="default"/>
      </w:rPr>
    </w:lvl>
    <w:lvl w:ilvl="5" w:tplc="10090005" w:tentative="1">
      <w:start w:val="1"/>
      <w:numFmt w:val="bullet"/>
      <w:lvlText w:val=""/>
      <w:lvlJc w:val="left"/>
      <w:pPr>
        <w:tabs>
          <w:tab w:val="num" w:pos="6120"/>
        </w:tabs>
        <w:ind w:left="6120" w:hanging="360"/>
      </w:pPr>
      <w:rPr>
        <w:rFonts w:ascii="Wingdings" w:hAnsi="Wingdings" w:hint="default"/>
      </w:rPr>
    </w:lvl>
    <w:lvl w:ilvl="6" w:tplc="10090001" w:tentative="1">
      <w:start w:val="1"/>
      <w:numFmt w:val="bullet"/>
      <w:lvlText w:val=""/>
      <w:lvlJc w:val="left"/>
      <w:pPr>
        <w:tabs>
          <w:tab w:val="num" w:pos="6840"/>
        </w:tabs>
        <w:ind w:left="6840" w:hanging="360"/>
      </w:pPr>
      <w:rPr>
        <w:rFonts w:ascii="Symbol" w:hAnsi="Symbol" w:hint="default"/>
      </w:rPr>
    </w:lvl>
    <w:lvl w:ilvl="7" w:tplc="10090003" w:tentative="1">
      <w:start w:val="1"/>
      <w:numFmt w:val="bullet"/>
      <w:lvlText w:val="o"/>
      <w:lvlJc w:val="left"/>
      <w:pPr>
        <w:tabs>
          <w:tab w:val="num" w:pos="7560"/>
        </w:tabs>
        <w:ind w:left="7560" w:hanging="360"/>
      </w:pPr>
      <w:rPr>
        <w:rFonts w:ascii="Courier New" w:hAnsi="Courier New" w:cs="Courier New" w:hint="default"/>
      </w:rPr>
    </w:lvl>
    <w:lvl w:ilvl="8" w:tplc="10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F6E6344"/>
    <w:multiLevelType w:val="multilevel"/>
    <w:tmpl w:val="4E545D62"/>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25"/>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08744423">
    <w:abstractNumId w:val="15"/>
  </w:num>
  <w:num w:numId="2" w16cid:durableId="1168247411">
    <w:abstractNumId w:val="21"/>
  </w:num>
  <w:num w:numId="3" w16cid:durableId="330762850">
    <w:abstractNumId w:val="26"/>
  </w:num>
  <w:num w:numId="4" w16cid:durableId="637420214">
    <w:abstractNumId w:val="4"/>
  </w:num>
  <w:num w:numId="5" w16cid:durableId="622002898">
    <w:abstractNumId w:val="5"/>
  </w:num>
  <w:num w:numId="6" w16cid:durableId="1357806830">
    <w:abstractNumId w:val="6"/>
  </w:num>
  <w:num w:numId="7" w16cid:durableId="333653626">
    <w:abstractNumId w:val="7"/>
  </w:num>
  <w:num w:numId="8" w16cid:durableId="1078089048">
    <w:abstractNumId w:val="9"/>
  </w:num>
  <w:num w:numId="9" w16cid:durableId="180441027">
    <w:abstractNumId w:val="0"/>
  </w:num>
  <w:num w:numId="10" w16cid:durableId="1584758680">
    <w:abstractNumId w:val="1"/>
  </w:num>
  <w:num w:numId="11" w16cid:durableId="993071584">
    <w:abstractNumId w:val="2"/>
  </w:num>
  <w:num w:numId="12" w16cid:durableId="1261140491">
    <w:abstractNumId w:val="3"/>
  </w:num>
  <w:num w:numId="13" w16cid:durableId="1374229442">
    <w:abstractNumId w:val="8"/>
  </w:num>
  <w:num w:numId="14" w16cid:durableId="84613448">
    <w:abstractNumId w:val="20"/>
  </w:num>
  <w:num w:numId="15" w16cid:durableId="473332954">
    <w:abstractNumId w:val="19"/>
  </w:num>
  <w:num w:numId="16" w16cid:durableId="618797344">
    <w:abstractNumId w:val="11"/>
  </w:num>
  <w:num w:numId="17" w16cid:durableId="2077823762">
    <w:abstractNumId w:val="10"/>
  </w:num>
  <w:num w:numId="18" w16cid:durableId="476189921">
    <w:abstractNumId w:val="24"/>
  </w:num>
  <w:num w:numId="19" w16cid:durableId="429353610">
    <w:abstractNumId w:val="16"/>
  </w:num>
  <w:num w:numId="20" w16cid:durableId="859046681">
    <w:abstractNumId w:val="13"/>
  </w:num>
  <w:num w:numId="21" w16cid:durableId="833492855">
    <w:abstractNumId w:val="12"/>
  </w:num>
  <w:num w:numId="22" w16cid:durableId="2089840255">
    <w:abstractNumId w:val="22"/>
  </w:num>
  <w:num w:numId="23" w16cid:durableId="536478523">
    <w:abstractNumId w:val="17"/>
  </w:num>
  <w:num w:numId="24" w16cid:durableId="2136367154">
    <w:abstractNumId w:val="28"/>
  </w:num>
  <w:num w:numId="25" w16cid:durableId="1493833243">
    <w:abstractNumId w:val="23"/>
  </w:num>
  <w:num w:numId="26" w16cid:durableId="1916469563">
    <w:abstractNumId w:val="18"/>
  </w:num>
  <w:num w:numId="27" w16cid:durableId="193346895">
    <w:abstractNumId w:val="25"/>
  </w:num>
  <w:num w:numId="28" w16cid:durableId="1128088548">
    <w:abstractNumId w:val="27"/>
  </w:num>
  <w:num w:numId="29" w16cid:durableId="468674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DA"/>
    <w:rsid w:val="0000345A"/>
    <w:rsid w:val="00012A3D"/>
    <w:rsid w:val="0002610A"/>
    <w:rsid w:val="0003537F"/>
    <w:rsid w:val="000731F7"/>
    <w:rsid w:val="000C4C68"/>
    <w:rsid w:val="000D29B7"/>
    <w:rsid w:val="000D481A"/>
    <w:rsid w:val="000E0947"/>
    <w:rsid w:val="001218C3"/>
    <w:rsid w:val="001F24C6"/>
    <w:rsid w:val="002120CA"/>
    <w:rsid w:val="00226DCF"/>
    <w:rsid w:val="00283978"/>
    <w:rsid w:val="0028581A"/>
    <w:rsid w:val="002B5BA5"/>
    <w:rsid w:val="002B5EA6"/>
    <w:rsid w:val="002D671D"/>
    <w:rsid w:val="002E18ED"/>
    <w:rsid w:val="002E750D"/>
    <w:rsid w:val="002F521E"/>
    <w:rsid w:val="0030269A"/>
    <w:rsid w:val="00302BF0"/>
    <w:rsid w:val="0032222C"/>
    <w:rsid w:val="00345F09"/>
    <w:rsid w:val="00381E3D"/>
    <w:rsid w:val="00386EA4"/>
    <w:rsid w:val="00407B78"/>
    <w:rsid w:val="00417808"/>
    <w:rsid w:val="004374F7"/>
    <w:rsid w:val="00444D39"/>
    <w:rsid w:val="00472F64"/>
    <w:rsid w:val="00492642"/>
    <w:rsid w:val="00493135"/>
    <w:rsid w:val="00520098"/>
    <w:rsid w:val="005407EF"/>
    <w:rsid w:val="00542A47"/>
    <w:rsid w:val="0059613B"/>
    <w:rsid w:val="005A11F5"/>
    <w:rsid w:val="005B0065"/>
    <w:rsid w:val="005B62C3"/>
    <w:rsid w:val="005C54D7"/>
    <w:rsid w:val="00601C6C"/>
    <w:rsid w:val="00617A66"/>
    <w:rsid w:val="00631630"/>
    <w:rsid w:val="00660163"/>
    <w:rsid w:val="006679F4"/>
    <w:rsid w:val="0069256F"/>
    <w:rsid w:val="006A4376"/>
    <w:rsid w:val="006E70BB"/>
    <w:rsid w:val="00705D3C"/>
    <w:rsid w:val="00736B6F"/>
    <w:rsid w:val="00753239"/>
    <w:rsid w:val="00756C58"/>
    <w:rsid w:val="00791CDA"/>
    <w:rsid w:val="007C4E29"/>
    <w:rsid w:val="00802F4C"/>
    <w:rsid w:val="00802FEA"/>
    <w:rsid w:val="00861AE8"/>
    <w:rsid w:val="008729A6"/>
    <w:rsid w:val="008A587F"/>
    <w:rsid w:val="008B27CB"/>
    <w:rsid w:val="008E5297"/>
    <w:rsid w:val="008F4B93"/>
    <w:rsid w:val="009754E0"/>
    <w:rsid w:val="00984A35"/>
    <w:rsid w:val="00986A54"/>
    <w:rsid w:val="009A3D52"/>
    <w:rsid w:val="009B5825"/>
    <w:rsid w:val="009B764C"/>
    <w:rsid w:val="00A0433C"/>
    <w:rsid w:val="00A260A6"/>
    <w:rsid w:val="00A26CA7"/>
    <w:rsid w:val="00A313CE"/>
    <w:rsid w:val="00A967C9"/>
    <w:rsid w:val="00AF2A0C"/>
    <w:rsid w:val="00B42B71"/>
    <w:rsid w:val="00B43B4B"/>
    <w:rsid w:val="00B66BD6"/>
    <w:rsid w:val="00B66EA8"/>
    <w:rsid w:val="00C303E3"/>
    <w:rsid w:val="00CA4919"/>
    <w:rsid w:val="00CE63B7"/>
    <w:rsid w:val="00D04B46"/>
    <w:rsid w:val="00D14E15"/>
    <w:rsid w:val="00D4195B"/>
    <w:rsid w:val="00D42B9B"/>
    <w:rsid w:val="00DC2BA3"/>
    <w:rsid w:val="00DD6FFC"/>
    <w:rsid w:val="00E428CC"/>
    <w:rsid w:val="00E461EF"/>
    <w:rsid w:val="00E83DF3"/>
    <w:rsid w:val="00EC101E"/>
    <w:rsid w:val="00EC34C7"/>
    <w:rsid w:val="00EC6FBF"/>
    <w:rsid w:val="00EE4AB2"/>
    <w:rsid w:val="00F25CA9"/>
    <w:rsid w:val="00F443B2"/>
    <w:rsid w:val="00F70FA4"/>
    <w:rsid w:val="00FB472C"/>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98EC4"/>
  <w14:defaultImageDpi w14:val="32767"/>
  <w15:chartTrackingRefBased/>
  <w15:docId w15:val="{C01C7B5B-CA0B-4A15-8A90-246D78DC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93135"/>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5C54D7"/>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493135"/>
    <w:pPr>
      <w:widowControl w:val="0"/>
      <w:spacing w:before="0" w:after="0"/>
      <w:ind w:left="140" w:hanging="708"/>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493135"/>
    <w:rPr>
      <w:rFonts w:ascii="Arial" w:eastAsia="Times New Roman" w:hAnsi="Arial" w:cs="Times New Roman"/>
      <w:lang w:val="en-US"/>
    </w:rPr>
  </w:style>
  <w:style w:type="paragraph" w:customStyle="1" w:styleId="Paragraphedeliste1">
    <w:name w:val="Paragraphe de liste1"/>
    <w:basedOn w:val="Normal"/>
    <w:rsid w:val="00493135"/>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493135"/>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49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genev\Desktop\Perso\CF\2019-06-12%20-%20Catali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15B6-8169-47E3-881A-C02D298E2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0845D-8C7D-4289-896F-E61F771E7467}">
  <ds:schemaRefs>
    <ds:schemaRef ds:uri="http://schemas.microsoft.com/sharepoint/v3/contenttype/forms"/>
  </ds:schemaRefs>
</ds:datastoreItem>
</file>

<file path=customXml/itemProps3.xml><?xml version="1.0" encoding="utf-8"?>
<ds:datastoreItem xmlns:ds="http://schemas.openxmlformats.org/officeDocument/2006/customXml" ds:itemID="{7BCC061C-3EAF-42A4-876C-DF64C177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99</TotalTime>
  <Pages>5</Pages>
  <Words>1214</Words>
  <Characters>6680</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31</cp:revision>
  <dcterms:created xsi:type="dcterms:W3CDTF">2019-06-17T17:54:00Z</dcterms:created>
  <dcterms:modified xsi:type="dcterms:W3CDTF">2023-11-22T11:54:00Z</dcterms:modified>
</cp:coreProperties>
</file>