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2B64" w14:textId="77777777" w:rsidR="0030269A" w:rsidRPr="00EC3E65" w:rsidRDefault="0030269A" w:rsidP="001E2683">
      <w:pPr>
        <w:spacing w:before="0" w:after="0"/>
      </w:pPr>
    </w:p>
    <w:tbl>
      <w:tblPr>
        <w:tblStyle w:val="Grilledutableau"/>
        <w:tblW w:w="0" w:type="auto"/>
        <w:tblLook w:val="04A0" w:firstRow="1" w:lastRow="0" w:firstColumn="1" w:lastColumn="0" w:noHBand="0" w:noVBand="1"/>
      </w:tblPr>
      <w:tblGrid>
        <w:gridCol w:w="3325"/>
        <w:gridCol w:w="6745"/>
      </w:tblGrid>
      <w:tr w:rsidR="0030269A" w:rsidRPr="00EC3E65" w14:paraId="71081E78" w14:textId="77777777" w:rsidTr="00012A3D">
        <w:tc>
          <w:tcPr>
            <w:tcW w:w="3325" w:type="dxa"/>
          </w:tcPr>
          <w:p w14:paraId="547864D5" w14:textId="77777777" w:rsidR="0030269A" w:rsidRPr="00EC3E65" w:rsidRDefault="0030269A" w:rsidP="001E2683">
            <w:pPr>
              <w:spacing w:before="60" w:after="60"/>
              <w:rPr>
                <w:b/>
              </w:rPr>
            </w:pPr>
            <w:r w:rsidRPr="00EC3E65">
              <w:rPr>
                <w:b/>
              </w:rPr>
              <w:t>Title</w:t>
            </w:r>
          </w:p>
        </w:tc>
        <w:tc>
          <w:tcPr>
            <w:tcW w:w="6745" w:type="dxa"/>
          </w:tcPr>
          <w:p w14:paraId="29C1207D" w14:textId="77777777" w:rsidR="0030269A" w:rsidRPr="00EC3E65" w:rsidRDefault="001E2683" w:rsidP="001E2683">
            <w:pPr>
              <w:spacing w:before="60" w:after="60"/>
            </w:pPr>
            <w:r w:rsidRPr="00EC3E65">
              <w:t>Research Completion</w:t>
            </w:r>
          </w:p>
        </w:tc>
      </w:tr>
      <w:tr w:rsidR="0030269A" w:rsidRPr="00EC3E65" w14:paraId="6E16C7F3" w14:textId="77777777" w:rsidTr="00012A3D">
        <w:tc>
          <w:tcPr>
            <w:tcW w:w="3325" w:type="dxa"/>
          </w:tcPr>
          <w:p w14:paraId="5F85D13C" w14:textId="77777777" w:rsidR="0030269A" w:rsidRPr="00EC3E65" w:rsidRDefault="58B8826E" w:rsidP="001E2683">
            <w:pPr>
              <w:spacing w:before="60" w:after="60"/>
              <w:rPr>
                <w:b/>
                <w:bCs/>
              </w:rPr>
            </w:pPr>
            <w:r w:rsidRPr="00EC3E65">
              <w:rPr>
                <w:b/>
                <w:bCs/>
              </w:rPr>
              <w:t>SOP Code</w:t>
            </w:r>
          </w:p>
        </w:tc>
        <w:tc>
          <w:tcPr>
            <w:tcW w:w="6745" w:type="dxa"/>
          </w:tcPr>
          <w:p w14:paraId="2BB8DD83" w14:textId="3E9CB831" w:rsidR="0030269A" w:rsidRPr="00EC3E65" w:rsidRDefault="58B8826E" w:rsidP="001E2683">
            <w:pPr>
              <w:spacing w:before="60" w:after="60"/>
            </w:pPr>
            <w:r w:rsidRPr="00EC3E65">
              <w:t>REB</w:t>
            </w:r>
            <w:r w:rsidR="00660163" w:rsidRPr="00EC3E65">
              <w:t>-</w:t>
            </w:r>
            <w:r w:rsidR="001E2683" w:rsidRPr="00EC3E65">
              <w:t xml:space="preserve">SOP </w:t>
            </w:r>
            <w:r w:rsidR="003650BE" w:rsidRPr="00EC3E65">
              <w:t>407-002</w:t>
            </w:r>
          </w:p>
        </w:tc>
      </w:tr>
      <w:tr w:rsidR="0030269A" w:rsidRPr="00EC3E65" w14:paraId="6FC49B39" w14:textId="77777777" w:rsidTr="00012A3D">
        <w:tc>
          <w:tcPr>
            <w:tcW w:w="3325" w:type="dxa"/>
          </w:tcPr>
          <w:p w14:paraId="7B019B8D" w14:textId="77777777" w:rsidR="0030269A" w:rsidRPr="00EC3E65" w:rsidRDefault="0030269A" w:rsidP="001E2683">
            <w:pPr>
              <w:spacing w:before="60" w:after="60"/>
              <w:rPr>
                <w:b/>
              </w:rPr>
            </w:pPr>
            <w:r w:rsidRPr="00EC3E65">
              <w:rPr>
                <w:b/>
              </w:rPr>
              <w:t>N2/CAREB SOP CODE</w:t>
            </w:r>
          </w:p>
        </w:tc>
        <w:tc>
          <w:tcPr>
            <w:tcW w:w="6745" w:type="dxa"/>
          </w:tcPr>
          <w:p w14:paraId="07B96E2E" w14:textId="1D530CCA" w:rsidR="0030269A" w:rsidRPr="00EC3E65" w:rsidRDefault="001E2683" w:rsidP="001E2683">
            <w:pPr>
              <w:spacing w:before="60" w:after="60"/>
            </w:pPr>
            <w:r w:rsidRPr="00EC3E65">
              <w:t>SOP 406</w:t>
            </w:r>
            <w:r w:rsidR="003650BE" w:rsidRPr="00EC3E65">
              <w:t>-003</w:t>
            </w:r>
          </w:p>
        </w:tc>
      </w:tr>
      <w:tr w:rsidR="0030269A" w:rsidRPr="00EC3E65" w14:paraId="438805D2" w14:textId="77777777" w:rsidTr="00012A3D">
        <w:tc>
          <w:tcPr>
            <w:tcW w:w="3325" w:type="dxa"/>
          </w:tcPr>
          <w:p w14:paraId="6483C29B" w14:textId="77777777" w:rsidR="0030269A" w:rsidRPr="00EC3E65" w:rsidRDefault="0030269A" w:rsidP="001E2683">
            <w:pPr>
              <w:spacing w:before="60" w:after="60"/>
              <w:rPr>
                <w:b/>
              </w:rPr>
            </w:pPr>
            <w:r w:rsidRPr="00EC3E65">
              <w:rPr>
                <w:b/>
              </w:rPr>
              <w:t>Effective Date</w:t>
            </w:r>
          </w:p>
        </w:tc>
        <w:tc>
          <w:tcPr>
            <w:tcW w:w="6745" w:type="dxa"/>
          </w:tcPr>
          <w:p w14:paraId="2DCD998A" w14:textId="77777777" w:rsidR="0030269A" w:rsidRPr="00EC3E65" w:rsidRDefault="0030269A" w:rsidP="001E2683">
            <w:pPr>
              <w:spacing w:before="60" w:after="60"/>
            </w:pPr>
            <w:r w:rsidRPr="00EC3E65">
              <w:rPr>
                <w:highlight w:val="yellow"/>
              </w:rPr>
              <w:t>YYYY-MM-DD</w:t>
            </w:r>
          </w:p>
        </w:tc>
      </w:tr>
    </w:tbl>
    <w:p w14:paraId="54541617" w14:textId="77777777" w:rsidR="0030269A" w:rsidRPr="00EC3E65" w:rsidRDefault="0030269A" w:rsidP="001E2683"/>
    <w:tbl>
      <w:tblPr>
        <w:tblStyle w:val="Grilledutableau"/>
        <w:tblW w:w="0" w:type="auto"/>
        <w:tblLook w:val="04A0" w:firstRow="1" w:lastRow="0" w:firstColumn="1" w:lastColumn="0" w:noHBand="0" w:noVBand="1"/>
      </w:tblPr>
      <w:tblGrid>
        <w:gridCol w:w="3325"/>
        <w:gridCol w:w="4467"/>
        <w:gridCol w:w="2206"/>
      </w:tblGrid>
      <w:tr w:rsidR="0030269A" w:rsidRPr="00EC3E65" w14:paraId="5E74E16F" w14:textId="77777777" w:rsidTr="00012A3D">
        <w:tc>
          <w:tcPr>
            <w:tcW w:w="3325" w:type="dxa"/>
            <w:shd w:val="clear" w:color="auto" w:fill="D9D9D9" w:themeFill="background1" w:themeFillShade="D9"/>
          </w:tcPr>
          <w:p w14:paraId="38E0512A" w14:textId="77777777" w:rsidR="0030269A" w:rsidRPr="00EC3E65" w:rsidRDefault="0030269A" w:rsidP="001E2683">
            <w:pPr>
              <w:spacing w:before="60" w:after="60"/>
              <w:jc w:val="center"/>
              <w:rPr>
                <w:b/>
              </w:rPr>
            </w:pPr>
            <w:r w:rsidRPr="00EC3E65">
              <w:rPr>
                <w:b/>
              </w:rPr>
              <w:t>Status</w:t>
            </w:r>
          </w:p>
        </w:tc>
        <w:tc>
          <w:tcPr>
            <w:tcW w:w="4467" w:type="dxa"/>
            <w:shd w:val="clear" w:color="auto" w:fill="D9D9D9" w:themeFill="background1" w:themeFillShade="D9"/>
          </w:tcPr>
          <w:p w14:paraId="109685D0" w14:textId="77777777" w:rsidR="0030269A" w:rsidRPr="00EC3E65" w:rsidRDefault="0030269A" w:rsidP="001E2683">
            <w:pPr>
              <w:spacing w:before="60" w:after="60"/>
              <w:jc w:val="center"/>
              <w:rPr>
                <w:b/>
              </w:rPr>
            </w:pPr>
            <w:r w:rsidRPr="00EC3E65">
              <w:rPr>
                <w:b/>
              </w:rPr>
              <w:t>Name and Title</w:t>
            </w:r>
          </w:p>
        </w:tc>
        <w:tc>
          <w:tcPr>
            <w:tcW w:w="2206" w:type="dxa"/>
            <w:shd w:val="clear" w:color="auto" w:fill="D9D9D9" w:themeFill="background1" w:themeFillShade="D9"/>
          </w:tcPr>
          <w:p w14:paraId="79982FF6" w14:textId="77777777" w:rsidR="0030269A" w:rsidRPr="00EC3E65" w:rsidRDefault="0030269A" w:rsidP="001E2683">
            <w:pPr>
              <w:spacing w:before="60" w:after="60"/>
              <w:jc w:val="center"/>
              <w:rPr>
                <w:b/>
              </w:rPr>
            </w:pPr>
            <w:r w:rsidRPr="00EC3E65">
              <w:rPr>
                <w:b/>
              </w:rPr>
              <w:t>Date</w:t>
            </w:r>
          </w:p>
        </w:tc>
      </w:tr>
      <w:tr w:rsidR="0030269A" w:rsidRPr="00EC3E65" w14:paraId="1E39D390" w14:textId="77777777" w:rsidTr="00012A3D">
        <w:tc>
          <w:tcPr>
            <w:tcW w:w="3325" w:type="dxa"/>
          </w:tcPr>
          <w:p w14:paraId="44F93CE9" w14:textId="77777777" w:rsidR="0030269A" w:rsidRPr="00EC3E65" w:rsidRDefault="00012A3D" w:rsidP="001E2683">
            <w:pPr>
              <w:spacing w:before="60" w:after="60"/>
              <w:jc w:val="left"/>
              <w:rPr>
                <w:b/>
                <w:i/>
                <w:highlight w:val="yellow"/>
              </w:rPr>
            </w:pPr>
            <w:r w:rsidRPr="00EC3E65">
              <w:rPr>
                <w:b/>
                <w:i/>
              </w:rPr>
              <w:t>Author of Harmonized Template</w:t>
            </w:r>
          </w:p>
        </w:tc>
        <w:tc>
          <w:tcPr>
            <w:tcW w:w="4467" w:type="dxa"/>
          </w:tcPr>
          <w:p w14:paraId="28A28B77" w14:textId="161E64D2" w:rsidR="0030269A" w:rsidRPr="00EC3E65" w:rsidRDefault="003650BE" w:rsidP="001E2683">
            <w:pPr>
              <w:spacing w:before="60" w:after="60"/>
            </w:pPr>
            <w:r w:rsidRPr="00EC3E65">
              <w:t xml:space="preserve">REB </w:t>
            </w:r>
            <w:r w:rsidR="00012A3D" w:rsidRPr="00EC3E65">
              <w:t>SOPs</w:t>
            </w:r>
            <w:r w:rsidR="008B5FF3" w:rsidRPr="00EC3E65">
              <w:t xml:space="preserve"> </w:t>
            </w:r>
            <w:r w:rsidRPr="00EC3E65">
              <w:t>developed by CATALIS Network</w:t>
            </w:r>
          </w:p>
        </w:tc>
        <w:tc>
          <w:tcPr>
            <w:tcW w:w="2206" w:type="dxa"/>
          </w:tcPr>
          <w:p w14:paraId="7ECD1F61" w14:textId="270E920D" w:rsidR="0030269A" w:rsidRPr="00EC3E65" w:rsidRDefault="003650BE" w:rsidP="001E2683">
            <w:pPr>
              <w:spacing w:before="60" w:after="60"/>
              <w:jc w:val="center"/>
            </w:pPr>
            <w:r w:rsidRPr="00EC3E65">
              <w:t>2023-05-01</w:t>
            </w:r>
          </w:p>
        </w:tc>
      </w:tr>
      <w:tr w:rsidR="005A11F5" w:rsidRPr="00EC3E65" w14:paraId="69AE3A69" w14:textId="77777777" w:rsidTr="00012A3D">
        <w:tc>
          <w:tcPr>
            <w:tcW w:w="3325" w:type="dxa"/>
          </w:tcPr>
          <w:p w14:paraId="2B75F097" w14:textId="77777777" w:rsidR="005A11F5" w:rsidRPr="00EC3E65" w:rsidRDefault="005A11F5" w:rsidP="001E2683">
            <w:pPr>
              <w:spacing w:before="60" w:after="60"/>
              <w:rPr>
                <w:b/>
                <w:i/>
                <w:highlight w:val="yellow"/>
              </w:rPr>
            </w:pPr>
            <w:r w:rsidRPr="00EC3E65">
              <w:rPr>
                <w:b/>
                <w:i/>
              </w:rPr>
              <w:t>Approved</w:t>
            </w:r>
          </w:p>
        </w:tc>
        <w:tc>
          <w:tcPr>
            <w:tcW w:w="4467" w:type="dxa"/>
          </w:tcPr>
          <w:p w14:paraId="669B89F3" w14:textId="77777777" w:rsidR="005A11F5" w:rsidRPr="00EC3E65" w:rsidRDefault="008F4B93" w:rsidP="001E2683">
            <w:pPr>
              <w:spacing w:before="60" w:after="60"/>
            </w:pPr>
            <w:r w:rsidRPr="00EC3E65">
              <w:t>REB Full Board Meeting XXX</w:t>
            </w:r>
          </w:p>
        </w:tc>
        <w:tc>
          <w:tcPr>
            <w:tcW w:w="2206" w:type="dxa"/>
          </w:tcPr>
          <w:p w14:paraId="780818D9" w14:textId="77777777" w:rsidR="005A11F5" w:rsidRPr="00EC3E65" w:rsidRDefault="005A11F5" w:rsidP="001E2683">
            <w:pPr>
              <w:spacing w:before="60" w:after="60"/>
              <w:jc w:val="center"/>
            </w:pPr>
            <w:r w:rsidRPr="00EC3E65">
              <w:t>YYYY-MM-DD</w:t>
            </w:r>
          </w:p>
        </w:tc>
      </w:tr>
      <w:tr w:rsidR="005A11F5" w:rsidRPr="00EC3E65" w14:paraId="17C55022" w14:textId="77777777" w:rsidTr="00012A3D">
        <w:tc>
          <w:tcPr>
            <w:tcW w:w="3325" w:type="dxa"/>
          </w:tcPr>
          <w:p w14:paraId="5C03B877" w14:textId="1E3BD086" w:rsidR="005A11F5" w:rsidRPr="00EC3E65" w:rsidRDefault="003650BE" w:rsidP="001E2683">
            <w:pPr>
              <w:spacing w:before="60" w:after="60"/>
              <w:rPr>
                <w:b/>
                <w:i/>
                <w:highlight w:val="yellow"/>
              </w:rPr>
            </w:pPr>
            <w:r w:rsidRPr="00EC3E65">
              <w:rPr>
                <w:b/>
                <w:i/>
              </w:rPr>
              <w:t>[Approved] or [</w:t>
            </w:r>
            <w:r w:rsidR="005A11F5" w:rsidRPr="00EC3E65">
              <w:rPr>
                <w:b/>
                <w:i/>
              </w:rPr>
              <w:t>Acknowledge receipt</w:t>
            </w:r>
            <w:r w:rsidRPr="00EC3E65">
              <w:rPr>
                <w:b/>
                <w:i/>
              </w:rPr>
              <w:t>]</w:t>
            </w:r>
          </w:p>
        </w:tc>
        <w:tc>
          <w:tcPr>
            <w:tcW w:w="4467" w:type="dxa"/>
          </w:tcPr>
          <w:p w14:paraId="15C8A3C5" w14:textId="77777777" w:rsidR="005A11F5" w:rsidRPr="00EC3E65" w:rsidRDefault="00E428CC" w:rsidP="001E2683">
            <w:pPr>
              <w:spacing w:before="60" w:after="60"/>
            </w:pPr>
            <w:r w:rsidRPr="00EC3E65">
              <w:t xml:space="preserve">CA </w:t>
            </w:r>
            <w:r w:rsidR="005A11F5" w:rsidRPr="00EC3E65">
              <w:t>XXX</w:t>
            </w:r>
          </w:p>
        </w:tc>
        <w:tc>
          <w:tcPr>
            <w:tcW w:w="2206" w:type="dxa"/>
          </w:tcPr>
          <w:p w14:paraId="4D3F7DAE" w14:textId="77777777" w:rsidR="005A11F5" w:rsidRPr="00EC3E65" w:rsidRDefault="005A11F5" w:rsidP="001E2683">
            <w:pPr>
              <w:spacing w:before="60" w:after="60"/>
              <w:jc w:val="center"/>
            </w:pPr>
            <w:r w:rsidRPr="00EC3E65">
              <w:t>YYYY-MM-DD</w:t>
            </w:r>
          </w:p>
        </w:tc>
      </w:tr>
    </w:tbl>
    <w:p w14:paraId="079FEC9D" w14:textId="77777777" w:rsidR="002E18ED" w:rsidRPr="00EC3E65" w:rsidRDefault="002E18ED" w:rsidP="001E2683">
      <w:pPr>
        <w:rPr>
          <w:b/>
        </w:rPr>
      </w:pPr>
    </w:p>
    <w:p w14:paraId="1D4508B9" w14:textId="77777777" w:rsidR="0030269A" w:rsidRPr="00EC3E65" w:rsidRDefault="0030269A" w:rsidP="001E2683">
      <w:pPr>
        <w:rPr>
          <w:b/>
        </w:rPr>
      </w:pPr>
      <w:r w:rsidRPr="00EC3E65">
        <w:rPr>
          <w:b/>
        </w:rPr>
        <w:t>Table of Content</w:t>
      </w:r>
    </w:p>
    <w:p w14:paraId="43D77A9B" w14:textId="5722642E" w:rsidR="00EC3E65" w:rsidRDefault="0030269A">
      <w:pPr>
        <w:pStyle w:val="TM1"/>
        <w:rPr>
          <w:kern w:val="2"/>
          <w:sz w:val="22"/>
          <w:szCs w:val="22"/>
          <w:lang w:val="fr-CA" w:eastAsia="fr-CA"/>
          <w14:ligatures w14:val="standardContextual"/>
        </w:rPr>
      </w:pPr>
      <w:r w:rsidRPr="00EC3E65">
        <w:rPr>
          <w:noProof w:val="0"/>
        </w:rPr>
        <w:fldChar w:fldCharType="begin"/>
      </w:r>
      <w:r w:rsidRPr="00EC3E65">
        <w:rPr>
          <w:noProof w:val="0"/>
        </w:rPr>
        <w:instrText xml:space="preserve"> TOC \o "1-2" \u </w:instrText>
      </w:r>
      <w:r w:rsidRPr="00EC3E65">
        <w:rPr>
          <w:noProof w:val="0"/>
        </w:rPr>
        <w:fldChar w:fldCharType="separate"/>
      </w:r>
      <w:r w:rsidR="00EC3E65">
        <w:t>1</w:t>
      </w:r>
      <w:r w:rsidR="00EC3E65">
        <w:rPr>
          <w:kern w:val="2"/>
          <w:sz w:val="22"/>
          <w:szCs w:val="22"/>
          <w:lang w:val="fr-CA" w:eastAsia="fr-CA"/>
          <w14:ligatures w14:val="standardContextual"/>
        </w:rPr>
        <w:tab/>
      </w:r>
      <w:r w:rsidR="00EC3E65">
        <w:t>Purpose</w:t>
      </w:r>
      <w:r w:rsidR="00EC3E65">
        <w:tab/>
      </w:r>
      <w:r w:rsidR="00EC3E65">
        <w:fldChar w:fldCharType="begin"/>
      </w:r>
      <w:r w:rsidR="00EC3E65">
        <w:instrText xml:space="preserve"> PAGEREF _Toc151450209 \h </w:instrText>
      </w:r>
      <w:r w:rsidR="00EC3E65">
        <w:fldChar w:fldCharType="separate"/>
      </w:r>
      <w:r w:rsidR="00EC3E65">
        <w:t>1</w:t>
      </w:r>
      <w:r w:rsidR="00EC3E65">
        <w:fldChar w:fldCharType="end"/>
      </w:r>
    </w:p>
    <w:p w14:paraId="3C87567D" w14:textId="0BA5F684" w:rsidR="00EC3E65" w:rsidRDefault="00EC3E65">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_Toc151450210 \h </w:instrText>
      </w:r>
      <w:r>
        <w:fldChar w:fldCharType="separate"/>
      </w:r>
      <w:r>
        <w:t>1</w:t>
      </w:r>
      <w:r>
        <w:fldChar w:fldCharType="end"/>
      </w:r>
    </w:p>
    <w:p w14:paraId="2F0DCC82" w14:textId="6CDE8CF5" w:rsidR="00EC3E65" w:rsidRDefault="00EC3E65">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_Toc151450211 \h </w:instrText>
      </w:r>
      <w:r>
        <w:fldChar w:fldCharType="separate"/>
      </w:r>
      <w:r>
        <w:t>2</w:t>
      </w:r>
      <w:r>
        <w:fldChar w:fldCharType="end"/>
      </w:r>
    </w:p>
    <w:p w14:paraId="3F6B5B90" w14:textId="67F7C913" w:rsidR="00EC3E65" w:rsidRDefault="00EC3E65">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_Toc151450212 \h </w:instrText>
      </w:r>
      <w:r>
        <w:fldChar w:fldCharType="separate"/>
      </w:r>
      <w:r>
        <w:t>2</w:t>
      </w:r>
      <w:r>
        <w:fldChar w:fldCharType="end"/>
      </w:r>
    </w:p>
    <w:p w14:paraId="14A46FF8" w14:textId="02DF4A23" w:rsidR="00EC3E65" w:rsidRDefault="00EC3E65">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_Toc151450213 \h </w:instrText>
      </w:r>
      <w:r>
        <w:fldChar w:fldCharType="separate"/>
      </w:r>
      <w:r>
        <w:t>2</w:t>
      </w:r>
      <w:r>
        <w:fldChar w:fldCharType="end"/>
      </w:r>
    </w:p>
    <w:p w14:paraId="0368299B" w14:textId="76252D9F" w:rsidR="00EC3E65" w:rsidRDefault="00EC3E65">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Determining when Research can be Closed with the REB</w:t>
      </w:r>
      <w:r>
        <w:tab/>
      </w:r>
      <w:r>
        <w:fldChar w:fldCharType="begin"/>
      </w:r>
      <w:r>
        <w:instrText xml:space="preserve"> PAGEREF _Toc151450214 \h </w:instrText>
      </w:r>
      <w:r>
        <w:fldChar w:fldCharType="separate"/>
      </w:r>
      <w:r>
        <w:t>2</w:t>
      </w:r>
      <w:r>
        <w:fldChar w:fldCharType="end"/>
      </w:r>
    </w:p>
    <w:p w14:paraId="4E10CEBD" w14:textId="108D9114" w:rsidR="00EC3E65" w:rsidRDefault="00EC3E65">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_Toc151450215 \h </w:instrText>
      </w:r>
      <w:r>
        <w:fldChar w:fldCharType="separate"/>
      </w:r>
      <w:r>
        <w:t>3</w:t>
      </w:r>
      <w:r>
        <w:fldChar w:fldCharType="end"/>
      </w:r>
    </w:p>
    <w:p w14:paraId="75D801AC" w14:textId="7355E30F" w:rsidR="00EC3E65" w:rsidRDefault="00EC3E65">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_Toc151450216 \h </w:instrText>
      </w:r>
      <w:r>
        <w:fldChar w:fldCharType="separate"/>
      </w:r>
      <w:r>
        <w:t>3</w:t>
      </w:r>
      <w:r>
        <w:fldChar w:fldCharType="end"/>
      </w:r>
    </w:p>
    <w:p w14:paraId="7AC51B97" w14:textId="7A7B51B6" w:rsidR="00EC3E65" w:rsidRDefault="00EC3E65">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_Toc151450217 \h </w:instrText>
      </w:r>
      <w:r>
        <w:fldChar w:fldCharType="separate"/>
      </w:r>
      <w:r>
        <w:t>3</w:t>
      </w:r>
      <w:r>
        <w:fldChar w:fldCharType="end"/>
      </w:r>
    </w:p>
    <w:p w14:paraId="0C703C10" w14:textId="76C076A6" w:rsidR="002B5BA5" w:rsidRPr="00EC3E65" w:rsidRDefault="0030269A" w:rsidP="001E2683">
      <w:r w:rsidRPr="00EC3E65">
        <w:rPr>
          <w:rFonts w:eastAsiaTheme="minorEastAsia" w:cstheme="minorHAnsi"/>
          <w:lang w:eastAsia="fr-FR"/>
        </w:rPr>
        <w:fldChar w:fldCharType="end"/>
      </w:r>
    </w:p>
    <w:p w14:paraId="48BCED61" w14:textId="77777777" w:rsidR="00B66BD6" w:rsidRPr="00EC3E65" w:rsidRDefault="00756C58" w:rsidP="001E2683">
      <w:pPr>
        <w:pStyle w:val="Titre1"/>
        <w:widowControl/>
      </w:pPr>
      <w:bookmarkStart w:id="0" w:name="_Toc151450209"/>
      <w:r w:rsidRPr="00EC3E65">
        <w:t>Purpose</w:t>
      </w:r>
      <w:bookmarkEnd w:id="0"/>
    </w:p>
    <w:p w14:paraId="12EB8B97" w14:textId="77777777" w:rsidR="001E2683" w:rsidRPr="00EC3E65" w:rsidRDefault="001E2683" w:rsidP="001E2683">
      <w:r w:rsidRPr="00EC3E65">
        <w:t>This standard operating procedure (SOP) describes the procedures for the closure of research with the Research Ethics Board (REB).</w:t>
      </w:r>
    </w:p>
    <w:p w14:paraId="7156E22A" w14:textId="77777777" w:rsidR="00756C58" w:rsidRPr="00EC3E65" w:rsidRDefault="00756C58" w:rsidP="001E2683">
      <w:pPr>
        <w:pStyle w:val="Titre1"/>
        <w:widowControl/>
      </w:pPr>
      <w:bookmarkStart w:id="1" w:name="_Toc151450210"/>
      <w:r w:rsidRPr="00EC3E65">
        <w:t>Scope</w:t>
      </w:r>
      <w:bookmarkEnd w:id="1"/>
    </w:p>
    <w:p w14:paraId="2D2F5BF2" w14:textId="77777777" w:rsidR="001E2683" w:rsidRPr="00EC3E65" w:rsidRDefault="001E2683" w:rsidP="001E2683">
      <w:r w:rsidRPr="00EC3E65">
        <w:t>This SOP pertains to REBs that review human participant research in compliance with applicable regulations and guidelines.</w:t>
      </w:r>
    </w:p>
    <w:p w14:paraId="0CE721F8" w14:textId="77777777" w:rsidR="00756C58" w:rsidRPr="00EC3E65" w:rsidRDefault="002E18ED" w:rsidP="001E2683">
      <w:pPr>
        <w:pStyle w:val="Titre1"/>
        <w:widowControl/>
      </w:pPr>
      <w:bookmarkStart w:id="2" w:name="_Toc151450211"/>
      <w:r w:rsidRPr="00EC3E65">
        <w:lastRenderedPageBreak/>
        <w:t>R</w:t>
      </w:r>
      <w:r w:rsidR="00756C58" w:rsidRPr="00EC3E65">
        <w:t>esponsibilities</w:t>
      </w:r>
      <w:bookmarkEnd w:id="2"/>
    </w:p>
    <w:p w14:paraId="1A0ECC69" w14:textId="77777777" w:rsidR="001E2683" w:rsidRPr="00EC3E65" w:rsidRDefault="001E2683" w:rsidP="001E2683">
      <w:r w:rsidRPr="00EC3E65">
        <w:t>All REB members and designated REB staff are responsible for ensuring that the requirements of this SOP are met.</w:t>
      </w:r>
    </w:p>
    <w:p w14:paraId="44C49D27" w14:textId="77777777" w:rsidR="00756C58" w:rsidRPr="00EC3E65" w:rsidRDefault="002E18ED" w:rsidP="001E2683">
      <w:pPr>
        <w:pStyle w:val="Titre1"/>
        <w:widowControl/>
      </w:pPr>
      <w:bookmarkStart w:id="3" w:name="_Toc151450212"/>
      <w:r w:rsidRPr="00EC3E65">
        <w:t>D</w:t>
      </w:r>
      <w:r w:rsidR="00756C58" w:rsidRPr="00EC3E65">
        <w:t>efinitions</w:t>
      </w:r>
      <w:bookmarkEnd w:id="3"/>
    </w:p>
    <w:p w14:paraId="45CDC62C" w14:textId="77777777" w:rsidR="002E18ED" w:rsidRPr="00EC3E65" w:rsidRDefault="00A313CE" w:rsidP="001E2683">
      <w:r w:rsidRPr="00EC3E65">
        <w:t>See Glossary of Terms.</w:t>
      </w:r>
    </w:p>
    <w:p w14:paraId="02385A22" w14:textId="77777777" w:rsidR="00756C58" w:rsidRPr="00EC3E65" w:rsidRDefault="002E18ED" w:rsidP="001E2683">
      <w:pPr>
        <w:pStyle w:val="Titre1"/>
        <w:widowControl/>
      </w:pPr>
      <w:bookmarkStart w:id="4" w:name="_Toc151450213"/>
      <w:r w:rsidRPr="00EC3E65">
        <w:t>P</w:t>
      </w:r>
      <w:r w:rsidR="00756C58" w:rsidRPr="00EC3E65">
        <w:t>rocedures</w:t>
      </w:r>
      <w:bookmarkEnd w:id="4"/>
    </w:p>
    <w:p w14:paraId="46E67D27" w14:textId="77777777" w:rsidR="001E2683" w:rsidRPr="00EC3E65" w:rsidRDefault="001E2683" w:rsidP="001E2683">
      <w:r w:rsidRPr="00EC3E65">
        <w:t>The Completion of research is a change in activity that must be reported to the REB.</w:t>
      </w:r>
      <w:r w:rsidRPr="00EC3E65">
        <w:rPr>
          <w:vertAlign w:val="superscript"/>
        </w:rPr>
        <w:footnoteReference w:id="1"/>
      </w:r>
    </w:p>
    <w:p w14:paraId="135C20DB" w14:textId="52217478" w:rsidR="002E18ED" w:rsidRPr="00EC3E65" w:rsidRDefault="001E2683" w:rsidP="001E2683">
      <w:r w:rsidRPr="00EC3E65">
        <w:t>This final report by the Researcher contains required information that will enable the REB to close its files.</w:t>
      </w:r>
    </w:p>
    <w:p w14:paraId="50653A50" w14:textId="77777777" w:rsidR="001E2683" w:rsidRPr="00EC3E65" w:rsidRDefault="001E2683" w:rsidP="001E2683">
      <w:pPr>
        <w:pStyle w:val="Titre2"/>
        <w:widowControl/>
      </w:pPr>
      <w:bookmarkStart w:id="5" w:name="_Toc151450214"/>
      <w:r w:rsidRPr="00EC3E65">
        <w:t>Determining when Research can be Closed with the REB</w:t>
      </w:r>
      <w:bookmarkEnd w:id="5"/>
    </w:p>
    <w:p w14:paraId="567AF736" w14:textId="77777777" w:rsidR="001E2683" w:rsidRPr="00EC3E65" w:rsidRDefault="001E2683" w:rsidP="001E2683">
      <w:pPr>
        <w:pStyle w:val="Titre3"/>
        <w:widowControl/>
      </w:pPr>
      <w:r w:rsidRPr="00EC3E65">
        <w:t>The Researcher will submit a research closure report to the REB</w:t>
      </w:r>
      <w:r w:rsidRPr="00EC3E65">
        <w:rPr>
          <w:vertAlign w:val="superscript"/>
        </w:rPr>
        <w:footnoteReference w:id="2"/>
      </w:r>
      <w:r w:rsidRPr="00EC3E65">
        <w:t xml:space="preserve"> when there are no further participants under REB jurisdiction, all new data collection is complete, and the sponsor closeout activities, if applicable, have been </w:t>
      </w:r>
      <w:proofErr w:type="gramStart"/>
      <w:r w:rsidRPr="00EC3E65">
        <w:t>completed;</w:t>
      </w:r>
      <w:proofErr w:type="gramEnd"/>
    </w:p>
    <w:p w14:paraId="466ABEE3" w14:textId="77777777" w:rsidR="001E2683" w:rsidRPr="00EC3E65" w:rsidRDefault="001E2683" w:rsidP="001E2683">
      <w:pPr>
        <w:pStyle w:val="Titre3"/>
        <w:widowControl/>
      </w:pPr>
      <w:r w:rsidRPr="00EC3E65">
        <w:t xml:space="preserve">The Researcher will also submit a research closure report to the REB when the study is prematurely, but definitely, </w:t>
      </w:r>
      <w:proofErr w:type="gramStart"/>
      <w:r w:rsidRPr="00EC3E65">
        <w:t>stopped;</w:t>
      </w:r>
      <w:proofErr w:type="gramEnd"/>
    </w:p>
    <w:p w14:paraId="0829F65E" w14:textId="77777777" w:rsidR="001E2683" w:rsidRPr="00EC3E65" w:rsidRDefault="001E2683" w:rsidP="001E2683">
      <w:pPr>
        <w:pStyle w:val="Titre3"/>
        <w:widowControl/>
      </w:pPr>
      <w:r w:rsidRPr="00EC3E65">
        <w:t xml:space="preserve">The REB Chair or designee or a designated member of the REB Support Staff will review the research closure application and request any outstanding information, clarification or documentation from the Researcher, if </w:t>
      </w:r>
      <w:proofErr w:type="gramStart"/>
      <w:r w:rsidRPr="00EC3E65">
        <w:t>needed;</w:t>
      </w:r>
      <w:proofErr w:type="gramEnd"/>
    </w:p>
    <w:p w14:paraId="4CDD16D7" w14:textId="77777777" w:rsidR="001E2683" w:rsidRPr="00EC3E65" w:rsidRDefault="001E2683" w:rsidP="001E2683">
      <w:pPr>
        <w:pStyle w:val="Titre3"/>
        <w:widowControl/>
      </w:pPr>
      <w:r w:rsidRPr="00EC3E65">
        <w:t>The REB Chair or designee or a designated member of the REB Support Staff will review the submission and issue a letter of Acknowledgement to the Researcher. The research status will change from “</w:t>
      </w:r>
      <w:r w:rsidRPr="00EC3E65">
        <w:rPr>
          <w:i/>
        </w:rPr>
        <w:t>Approved</w:t>
      </w:r>
      <w:r w:rsidRPr="00EC3E65">
        <w:t>” to “</w:t>
      </w:r>
      <w:r w:rsidRPr="00EC3E65">
        <w:rPr>
          <w:i/>
        </w:rPr>
        <w:t>Closed</w:t>
      </w:r>
      <w:proofErr w:type="gramStart"/>
      <w:r w:rsidRPr="00EC3E65">
        <w:t>”;</w:t>
      </w:r>
      <w:proofErr w:type="gramEnd"/>
    </w:p>
    <w:p w14:paraId="58C213C4" w14:textId="77777777" w:rsidR="001E2683" w:rsidRPr="00EC3E65" w:rsidRDefault="001E2683" w:rsidP="001E2683">
      <w:pPr>
        <w:pStyle w:val="Titre3"/>
        <w:widowControl/>
      </w:pPr>
      <w:r w:rsidRPr="00EC3E65">
        <w:t>Once a research project is “</w:t>
      </w:r>
      <w:r w:rsidRPr="00EC3E65">
        <w:rPr>
          <w:i/>
        </w:rPr>
        <w:t>Closed</w:t>
      </w:r>
      <w:r w:rsidRPr="00EC3E65">
        <w:t xml:space="preserve">” with the REB, no further submissions for that research will be permitted. If required, however, the Researcher may still submit relevant documents for REB acknowledgement. If applicable, further investigation and/or action may be undertaken by the </w:t>
      </w:r>
      <w:proofErr w:type="gramStart"/>
      <w:r w:rsidRPr="00EC3E65">
        <w:t>REB;</w:t>
      </w:r>
      <w:proofErr w:type="gramEnd"/>
    </w:p>
    <w:p w14:paraId="287D21FE" w14:textId="77777777" w:rsidR="001E2683" w:rsidRPr="00EC3E65" w:rsidRDefault="001E2683" w:rsidP="001E2683">
      <w:pPr>
        <w:pStyle w:val="Titre3"/>
        <w:widowControl/>
      </w:pPr>
      <w:r w:rsidRPr="00EC3E65">
        <w:t>If the sponsor requests additional data following the closure of the research, a request for approval shall be made to the REB. Access to patient records requires the consent of the patient (or legal representative) or the authorization of the Director of Professional Services at the institution.</w:t>
      </w:r>
    </w:p>
    <w:p w14:paraId="638DD44E" w14:textId="77777777" w:rsidR="00756C58" w:rsidRPr="00EC3E65" w:rsidRDefault="002E18ED" w:rsidP="001E2683">
      <w:pPr>
        <w:pStyle w:val="Titre1"/>
        <w:widowControl/>
      </w:pPr>
      <w:bookmarkStart w:id="6" w:name="_Toc151450215"/>
      <w:r w:rsidRPr="00EC3E65">
        <w:lastRenderedPageBreak/>
        <w:t>R</w:t>
      </w:r>
      <w:r w:rsidR="00756C58" w:rsidRPr="00EC3E65">
        <w:t>eferences</w:t>
      </w:r>
      <w:bookmarkEnd w:id="6"/>
    </w:p>
    <w:p w14:paraId="531695AB" w14:textId="77777777" w:rsidR="00756C58" w:rsidRPr="00EC3E65" w:rsidRDefault="00A313CE" w:rsidP="001E2683">
      <w:r w:rsidRPr="00EC3E65">
        <w:t>See footnotes.</w:t>
      </w:r>
    </w:p>
    <w:p w14:paraId="24789917" w14:textId="77777777" w:rsidR="00756C58" w:rsidRPr="00EC3E65" w:rsidRDefault="002E18ED" w:rsidP="001E2683">
      <w:pPr>
        <w:pStyle w:val="Titre1"/>
        <w:widowControl/>
      </w:pPr>
      <w:bookmarkStart w:id="7" w:name="_Toc151450216"/>
      <w:r w:rsidRPr="00EC3E65">
        <w:t>R</w:t>
      </w:r>
      <w:r w:rsidR="00756C58" w:rsidRPr="00EC3E65">
        <w:t>evision History</w:t>
      </w:r>
      <w:bookmarkEnd w:id="7"/>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EC3E65" w14:paraId="312EC34F" w14:textId="77777777" w:rsidTr="0030704D">
        <w:tc>
          <w:tcPr>
            <w:tcW w:w="2297" w:type="dxa"/>
            <w:tcBorders>
              <w:right w:val="single" w:sz="4" w:space="0" w:color="auto"/>
            </w:tcBorders>
            <w:shd w:val="clear" w:color="auto" w:fill="auto"/>
            <w:vAlign w:val="center"/>
          </w:tcPr>
          <w:p w14:paraId="4195C446" w14:textId="77777777" w:rsidR="00756C58" w:rsidRPr="00EC3E65" w:rsidRDefault="00756C58" w:rsidP="001E2683">
            <w:pPr>
              <w:spacing w:before="0" w:after="0"/>
              <w:jc w:val="center"/>
              <w:rPr>
                <w:rFonts w:eastAsia="Calibri"/>
                <w:b/>
              </w:rPr>
            </w:pPr>
            <w:r w:rsidRPr="00EC3E65">
              <w:rPr>
                <w:rFonts w:eastAsia="Calibri"/>
                <w:b/>
              </w:rPr>
              <w:t>SOP Code</w:t>
            </w:r>
          </w:p>
        </w:tc>
        <w:tc>
          <w:tcPr>
            <w:tcW w:w="1559" w:type="dxa"/>
            <w:tcBorders>
              <w:left w:val="single" w:sz="4" w:space="0" w:color="auto"/>
              <w:right w:val="single" w:sz="4" w:space="0" w:color="auto"/>
            </w:tcBorders>
            <w:shd w:val="clear" w:color="auto" w:fill="auto"/>
            <w:vAlign w:val="center"/>
          </w:tcPr>
          <w:p w14:paraId="29977EC2" w14:textId="77777777" w:rsidR="00756C58" w:rsidRPr="00EC3E65" w:rsidRDefault="00756C58" w:rsidP="001E2683">
            <w:pPr>
              <w:spacing w:before="0" w:after="0"/>
              <w:jc w:val="center"/>
              <w:rPr>
                <w:rFonts w:eastAsia="Calibri"/>
                <w:b/>
              </w:rPr>
            </w:pPr>
            <w:r w:rsidRPr="00EC3E65">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3E69D56" w14:textId="77777777" w:rsidR="00756C58" w:rsidRPr="00EC3E65" w:rsidRDefault="00756C58" w:rsidP="001E2683">
            <w:pPr>
              <w:spacing w:before="0" w:after="0"/>
              <w:jc w:val="left"/>
              <w:rPr>
                <w:rFonts w:eastAsia="Calibri"/>
                <w:b/>
              </w:rPr>
            </w:pPr>
            <w:r w:rsidRPr="00EC3E65">
              <w:rPr>
                <w:rFonts w:eastAsia="Calibri"/>
                <w:b/>
              </w:rPr>
              <w:t>Summary of Changes</w:t>
            </w:r>
          </w:p>
        </w:tc>
      </w:tr>
      <w:tr w:rsidR="00756C58" w:rsidRPr="00EC3E65" w14:paraId="69175830" w14:textId="77777777" w:rsidTr="0030704D">
        <w:tc>
          <w:tcPr>
            <w:tcW w:w="2297" w:type="dxa"/>
            <w:tcBorders>
              <w:right w:val="single" w:sz="4" w:space="0" w:color="auto"/>
            </w:tcBorders>
            <w:shd w:val="clear" w:color="auto" w:fill="auto"/>
            <w:vAlign w:val="center"/>
          </w:tcPr>
          <w:p w14:paraId="6A078A15" w14:textId="687E07F7" w:rsidR="00756C58" w:rsidRPr="00EC3E65" w:rsidRDefault="00756C58" w:rsidP="001E2683">
            <w:pPr>
              <w:spacing w:before="0" w:after="0"/>
              <w:jc w:val="left"/>
              <w:rPr>
                <w:rFonts w:eastAsia="Calibri" w:cs="Arial"/>
              </w:rPr>
            </w:pPr>
            <w:r w:rsidRPr="00EC3E65">
              <w:rPr>
                <w:rFonts w:eastAsia="Calibri"/>
              </w:rPr>
              <w:t>REB</w:t>
            </w:r>
            <w:r w:rsidR="00660163" w:rsidRPr="00EC3E65">
              <w:rPr>
                <w:rFonts w:eastAsia="Calibri"/>
              </w:rPr>
              <w:t>-</w:t>
            </w:r>
            <w:r w:rsidR="001E2683" w:rsidRPr="00EC3E65">
              <w:rPr>
                <w:rFonts w:eastAsia="Calibri"/>
              </w:rPr>
              <w:t>SOP 408</w:t>
            </w:r>
            <w:r w:rsidR="003650BE" w:rsidRPr="00EC3E65">
              <w:rPr>
                <w:rFonts w:eastAsia="Calibri"/>
              </w:rPr>
              <w:t>-</w:t>
            </w:r>
            <w:r w:rsidR="001E2683" w:rsidRPr="00EC3E65">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494668" w14:textId="46048FE8" w:rsidR="00756C58" w:rsidRPr="00EC3E65" w:rsidRDefault="003650BE" w:rsidP="001E2683">
            <w:pPr>
              <w:spacing w:before="0" w:after="0"/>
              <w:jc w:val="center"/>
              <w:rPr>
                <w:rFonts w:eastAsia="Calibri"/>
              </w:rPr>
            </w:pPr>
            <w:r w:rsidRPr="00EC3E65">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C1EEA83" w14:textId="77777777" w:rsidR="00756C58" w:rsidRPr="00EC3E65" w:rsidRDefault="00756C58" w:rsidP="001E2683">
            <w:pPr>
              <w:spacing w:before="0" w:after="0"/>
              <w:jc w:val="left"/>
              <w:rPr>
                <w:rFonts w:eastAsia="Calibri"/>
              </w:rPr>
            </w:pPr>
            <w:r w:rsidRPr="00EC3E65">
              <w:rPr>
                <w:rFonts w:eastAsia="Calibri"/>
              </w:rPr>
              <w:t xml:space="preserve">Original </w:t>
            </w:r>
            <w:r w:rsidR="00B43B4B" w:rsidRPr="00EC3E65">
              <w:rPr>
                <w:rFonts w:eastAsia="Calibri"/>
              </w:rPr>
              <w:t>v</w:t>
            </w:r>
            <w:r w:rsidRPr="00EC3E65">
              <w:rPr>
                <w:rFonts w:eastAsia="Calibri"/>
              </w:rPr>
              <w:t>ersion</w:t>
            </w:r>
          </w:p>
        </w:tc>
      </w:tr>
      <w:tr w:rsidR="003650BE" w:rsidRPr="00EC3E65" w14:paraId="3676D91D" w14:textId="77777777" w:rsidTr="0030704D">
        <w:tc>
          <w:tcPr>
            <w:tcW w:w="2297" w:type="dxa"/>
            <w:tcBorders>
              <w:right w:val="single" w:sz="4" w:space="0" w:color="auto"/>
            </w:tcBorders>
            <w:shd w:val="clear" w:color="auto" w:fill="auto"/>
            <w:vAlign w:val="center"/>
          </w:tcPr>
          <w:p w14:paraId="3F9F16E8" w14:textId="38115F6E" w:rsidR="003650BE" w:rsidRPr="00EC3E65" w:rsidRDefault="003650BE" w:rsidP="003650BE">
            <w:pPr>
              <w:spacing w:before="0" w:after="0"/>
              <w:jc w:val="left"/>
              <w:rPr>
                <w:rFonts w:eastAsia="Calibri"/>
              </w:rPr>
            </w:pPr>
            <w:r w:rsidRPr="00EC3E65">
              <w:rPr>
                <w:rFonts w:eastAsia="Calibri"/>
              </w:rPr>
              <w:t>REB-SOP 407-002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3EAA95" w14:textId="553BAACC" w:rsidR="003650BE" w:rsidRPr="00EC3E65" w:rsidRDefault="003650BE" w:rsidP="003650BE">
            <w:pPr>
              <w:spacing w:before="0" w:after="0"/>
              <w:jc w:val="center"/>
              <w:rPr>
                <w:rFonts w:eastAsia="Calibri"/>
              </w:rPr>
            </w:pPr>
            <w:r w:rsidRPr="00EC3E65">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EFB3579" w14:textId="77777777" w:rsidR="003650BE" w:rsidRPr="00EC3E65" w:rsidRDefault="003650BE" w:rsidP="003650BE">
            <w:pPr>
              <w:spacing w:before="0" w:after="0"/>
              <w:jc w:val="left"/>
              <w:rPr>
                <w:rFonts w:eastAsia="Calibri"/>
              </w:rPr>
            </w:pPr>
            <w:r w:rsidRPr="00EC3E65">
              <w:rPr>
                <w:rFonts w:eastAsia="Calibri"/>
              </w:rPr>
              <w:t xml:space="preserve">Updated in line with regulations in </w:t>
            </w:r>
            <w:proofErr w:type="gramStart"/>
            <w:r w:rsidRPr="00EC3E65">
              <w:rPr>
                <w:rFonts w:eastAsia="Calibri"/>
              </w:rPr>
              <w:t>effect</w:t>
            </w:r>
            <w:proofErr w:type="gramEnd"/>
          </w:p>
          <w:p w14:paraId="6022E9F9" w14:textId="25A32DCA" w:rsidR="003650BE" w:rsidRPr="00EC3E65" w:rsidRDefault="003650BE" w:rsidP="003650BE">
            <w:pPr>
              <w:spacing w:before="0" w:after="0"/>
              <w:jc w:val="left"/>
              <w:rPr>
                <w:rFonts w:eastAsia="Calibri"/>
              </w:rPr>
            </w:pPr>
            <w:r w:rsidRPr="00EC3E65">
              <w:rPr>
                <w:rFonts w:eastAsia="Calibri"/>
              </w:rPr>
              <w:t>Updated references</w:t>
            </w:r>
          </w:p>
        </w:tc>
      </w:tr>
      <w:tr w:rsidR="00756C58" w:rsidRPr="00EC3E65" w14:paraId="78895514" w14:textId="77777777" w:rsidTr="0030704D">
        <w:tc>
          <w:tcPr>
            <w:tcW w:w="2297" w:type="dxa"/>
            <w:tcBorders>
              <w:right w:val="single" w:sz="4" w:space="0" w:color="auto"/>
            </w:tcBorders>
            <w:shd w:val="clear" w:color="auto" w:fill="auto"/>
            <w:vAlign w:val="center"/>
          </w:tcPr>
          <w:p w14:paraId="0873F758" w14:textId="77777777" w:rsidR="00756C58" w:rsidRPr="00EC3E65" w:rsidRDefault="00756C58" w:rsidP="001E2683">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63E49B39" w14:textId="77777777" w:rsidR="00756C58" w:rsidRPr="00EC3E65" w:rsidRDefault="00756C58" w:rsidP="001E2683">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423B2A5" w14:textId="77777777" w:rsidR="00756C58" w:rsidRPr="00EC3E65" w:rsidRDefault="00756C58" w:rsidP="001E2683">
            <w:pPr>
              <w:spacing w:before="0" w:after="0"/>
              <w:jc w:val="left"/>
              <w:rPr>
                <w:rFonts w:eastAsia="Calibri"/>
              </w:rPr>
            </w:pPr>
          </w:p>
        </w:tc>
      </w:tr>
    </w:tbl>
    <w:p w14:paraId="4791EB1C" w14:textId="77777777" w:rsidR="00756C58" w:rsidRPr="00EC3E65" w:rsidRDefault="002E18ED" w:rsidP="001E2683">
      <w:pPr>
        <w:pStyle w:val="Titre1"/>
        <w:widowControl/>
      </w:pPr>
      <w:bookmarkStart w:id="8" w:name="_Toc151450217"/>
      <w:r w:rsidRPr="00EC3E65">
        <w:t>Appendices</w:t>
      </w:r>
      <w:bookmarkEnd w:id="8"/>
    </w:p>
    <w:p w14:paraId="43F55AFA" w14:textId="77777777" w:rsidR="00756C58" w:rsidRPr="00EC3E65" w:rsidRDefault="00756C58" w:rsidP="001E2683"/>
    <w:sectPr w:rsidR="00756C58" w:rsidRPr="00EC3E65"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D82F" w14:textId="77777777" w:rsidR="003750D4" w:rsidRDefault="003750D4" w:rsidP="0030269A">
      <w:pPr>
        <w:spacing w:before="0" w:after="0"/>
      </w:pPr>
      <w:r>
        <w:separator/>
      </w:r>
    </w:p>
  </w:endnote>
  <w:endnote w:type="continuationSeparator" w:id="0">
    <w:p w14:paraId="23FC1705" w14:textId="77777777" w:rsidR="003750D4" w:rsidRDefault="003750D4"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AB3F" w14:textId="77777777" w:rsidR="002E18ED" w:rsidRPr="00627E38" w:rsidRDefault="002E18ED" w:rsidP="002E18ED">
    <w:pPr>
      <w:pStyle w:val="Pieddepage"/>
      <w:pBdr>
        <w:bottom w:val="single" w:sz="4" w:space="1" w:color="auto"/>
      </w:pBdr>
      <w:rPr>
        <w:sz w:val="20"/>
        <w:szCs w:val="20"/>
      </w:rPr>
    </w:pPr>
  </w:p>
  <w:p w14:paraId="72B98226" w14:textId="71CBD0E7"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3650BE">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25BF" w14:textId="77777777" w:rsidR="003750D4" w:rsidRDefault="003750D4" w:rsidP="0030269A">
      <w:pPr>
        <w:spacing w:before="0" w:after="0"/>
      </w:pPr>
      <w:r>
        <w:separator/>
      </w:r>
    </w:p>
  </w:footnote>
  <w:footnote w:type="continuationSeparator" w:id="0">
    <w:p w14:paraId="4E5E4788" w14:textId="77777777" w:rsidR="003750D4" w:rsidRDefault="003750D4" w:rsidP="0030269A">
      <w:pPr>
        <w:spacing w:before="0" w:after="0"/>
      </w:pPr>
      <w:r>
        <w:continuationSeparator/>
      </w:r>
    </w:p>
  </w:footnote>
  <w:footnote w:id="1">
    <w:p w14:paraId="1D4291C7" w14:textId="7F3EAA2A" w:rsidR="001E2683" w:rsidRPr="00DE7B5C" w:rsidRDefault="001E2683" w:rsidP="001E2683">
      <w:pPr>
        <w:pStyle w:val="Notedebasdepage"/>
      </w:pPr>
      <w:r w:rsidRPr="00DE7B5C">
        <w:rPr>
          <w:rStyle w:val="Appelnotedebasdep"/>
          <w:rFonts w:cs="Calibri"/>
        </w:rPr>
        <w:footnoteRef/>
      </w:r>
      <w:r w:rsidRPr="00DE7B5C">
        <w:rPr>
          <w:rFonts w:cs="Calibri"/>
        </w:rPr>
        <w:t xml:space="preserve"> </w:t>
      </w:r>
      <w:r w:rsidRPr="00DE7B5C">
        <w:rPr>
          <w:rFonts w:cs="Calibri"/>
        </w:rPr>
        <w:tab/>
      </w:r>
      <w:r w:rsidRPr="00DE7B5C">
        <w:t xml:space="preserve">Operational Guidelines for Ethics Committees that Review Biomedical Research, World Health Organization (WHO), 2000, hereafter “TDR”, s. </w:t>
      </w:r>
      <w:r w:rsidRPr="00DE7B5C">
        <w:rPr>
          <w:rFonts w:cs="Calibri"/>
        </w:rPr>
        <w:t>9.6.</w:t>
      </w:r>
    </w:p>
  </w:footnote>
  <w:footnote w:id="2">
    <w:p w14:paraId="167D834F" w14:textId="77777777" w:rsidR="001E2683" w:rsidRPr="00DE7B5C" w:rsidRDefault="001E2683" w:rsidP="001E2683">
      <w:pPr>
        <w:pStyle w:val="Notedebasdepage"/>
      </w:pPr>
      <w:r w:rsidRPr="00DE7B5C">
        <w:rPr>
          <w:rStyle w:val="Appelnotedebasdep"/>
          <w:rFonts w:cs="Calibri"/>
        </w:rPr>
        <w:footnoteRef/>
      </w:r>
      <w:r w:rsidRPr="00DE7B5C">
        <w:rPr>
          <w:rFonts w:cs="Calibri"/>
        </w:rPr>
        <w:t xml:space="preserve"> </w:t>
      </w:r>
      <w:r w:rsidRPr="00DE7B5C">
        <w:rPr>
          <w:rFonts w:cs="Calibri"/>
        </w:rPr>
        <w:tab/>
      </w:r>
      <w:r w:rsidRPr="00DE7B5C">
        <w:t xml:space="preserve">TDR, s. </w:t>
      </w:r>
      <w:r w:rsidRPr="00DE7B5C">
        <w:rPr>
          <w:rFonts w:cs="Calibri"/>
        </w:rPr>
        <w:t>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00DE"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1BC87832" w14:textId="77777777" w:rsidTr="58B8826E">
      <w:trPr>
        <w:trHeight w:val="567"/>
      </w:trPr>
      <w:tc>
        <w:tcPr>
          <w:tcW w:w="4957" w:type="dxa"/>
          <w:vMerge w:val="restart"/>
          <w:tcBorders>
            <w:right w:val="single" w:sz="4" w:space="0" w:color="auto"/>
          </w:tcBorders>
          <w:shd w:val="clear" w:color="auto" w:fill="auto"/>
          <w:vAlign w:val="center"/>
        </w:tcPr>
        <w:p w14:paraId="6D0F0B3A" w14:textId="181B859B"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752EB451" w14:textId="381196D1" w:rsidR="0030269A" w:rsidRPr="00D0004E" w:rsidRDefault="58B8826E" w:rsidP="58B8826E">
          <w:pPr>
            <w:spacing w:before="0" w:after="0"/>
            <w:jc w:val="right"/>
            <w:rPr>
              <w:sz w:val="32"/>
              <w:szCs w:val="32"/>
              <w:lang w:val="en-US"/>
            </w:rPr>
          </w:pPr>
          <w:r w:rsidRPr="58B8826E">
            <w:rPr>
              <w:sz w:val="32"/>
              <w:szCs w:val="32"/>
              <w:lang w:val="en-US"/>
            </w:rPr>
            <w:t>REB-</w:t>
          </w:r>
          <w:r w:rsidR="001E2683">
            <w:rPr>
              <w:sz w:val="32"/>
              <w:szCs w:val="32"/>
              <w:lang w:val="en-US"/>
            </w:rPr>
            <w:t xml:space="preserve">SOP </w:t>
          </w:r>
          <w:r w:rsidR="003650BE">
            <w:rPr>
              <w:sz w:val="32"/>
              <w:szCs w:val="32"/>
              <w:lang w:val="en-US"/>
            </w:rPr>
            <w:t>407-002</w:t>
          </w:r>
        </w:p>
      </w:tc>
    </w:tr>
    <w:tr w:rsidR="0030269A" w:rsidRPr="005A11F5" w14:paraId="081BD255" w14:textId="77777777" w:rsidTr="58B8826E">
      <w:trPr>
        <w:trHeight w:val="567"/>
      </w:trPr>
      <w:tc>
        <w:tcPr>
          <w:tcW w:w="4957" w:type="dxa"/>
          <w:vMerge/>
        </w:tcPr>
        <w:p w14:paraId="74B7D7E0"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4BE191AD" w14:textId="77777777" w:rsidR="0030269A" w:rsidRPr="002F7EC5" w:rsidRDefault="0030269A" w:rsidP="0030269A">
          <w:pPr>
            <w:spacing w:before="0" w:after="0"/>
            <w:jc w:val="right"/>
            <w:rPr>
              <w:lang w:val="en-US"/>
            </w:rPr>
          </w:pPr>
          <w:r w:rsidRPr="002F7EC5">
            <w:rPr>
              <w:lang w:val="en-US"/>
            </w:rPr>
            <w:t>Research Ethics Board</w:t>
          </w:r>
        </w:p>
        <w:p w14:paraId="279E89DE" w14:textId="77777777" w:rsidR="0030269A" w:rsidRPr="002F7EC5" w:rsidRDefault="0030269A" w:rsidP="0030269A">
          <w:pPr>
            <w:spacing w:before="0" w:after="0"/>
            <w:jc w:val="right"/>
            <w:rPr>
              <w:lang w:val="en-US"/>
            </w:rPr>
          </w:pPr>
          <w:r w:rsidRPr="002F7EC5">
            <w:rPr>
              <w:lang w:val="en-US"/>
            </w:rPr>
            <w:t>Standard Operating Procedure</w:t>
          </w:r>
        </w:p>
      </w:tc>
    </w:tr>
  </w:tbl>
  <w:p w14:paraId="2E60C1B3" w14:textId="77777777" w:rsidR="0030269A" w:rsidRPr="002F7EC5" w:rsidRDefault="0030269A" w:rsidP="0030269A">
    <w:pPr>
      <w:pStyle w:val="En-tte"/>
      <w:rPr>
        <w:lang w:val="en-US"/>
      </w:rPr>
    </w:pPr>
  </w:p>
  <w:p w14:paraId="50F3BA0E"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7D6D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2CC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EA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C20A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8D25D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548613830">
    <w:abstractNumId w:val="14"/>
  </w:num>
  <w:num w:numId="2" w16cid:durableId="1020281404">
    <w:abstractNumId w:val="19"/>
  </w:num>
  <w:num w:numId="3" w16cid:durableId="1857504">
    <w:abstractNumId w:val="22"/>
  </w:num>
  <w:num w:numId="4" w16cid:durableId="381831423">
    <w:abstractNumId w:val="4"/>
  </w:num>
  <w:num w:numId="5" w16cid:durableId="1069766701">
    <w:abstractNumId w:val="5"/>
  </w:num>
  <w:num w:numId="6" w16cid:durableId="1194925218">
    <w:abstractNumId w:val="6"/>
  </w:num>
  <w:num w:numId="7" w16cid:durableId="961496005">
    <w:abstractNumId w:val="7"/>
  </w:num>
  <w:num w:numId="8" w16cid:durableId="1751465664">
    <w:abstractNumId w:val="9"/>
  </w:num>
  <w:num w:numId="9" w16cid:durableId="1386292371">
    <w:abstractNumId w:val="0"/>
  </w:num>
  <w:num w:numId="10" w16cid:durableId="1922911523">
    <w:abstractNumId w:val="1"/>
  </w:num>
  <w:num w:numId="11" w16cid:durableId="1586456558">
    <w:abstractNumId w:val="2"/>
  </w:num>
  <w:num w:numId="12" w16cid:durableId="1887599233">
    <w:abstractNumId w:val="3"/>
  </w:num>
  <w:num w:numId="13" w16cid:durableId="2127432720">
    <w:abstractNumId w:val="8"/>
  </w:num>
  <w:num w:numId="14" w16cid:durableId="1188450532">
    <w:abstractNumId w:val="18"/>
  </w:num>
  <w:num w:numId="15" w16cid:durableId="525801226">
    <w:abstractNumId w:val="17"/>
  </w:num>
  <w:num w:numId="16" w16cid:durableId="127164646">
    <w:abstractNumId w:val="11"/>
  </w:num>
  <w:num w:numId="17" w16cid:durableId="1365327275">
    <w:abstractNumId w:val="10"/>
  </w:num>
  <w:num w:numId="18" w16cid:durableId="671881929">
    <w:abstractNumId w:val="21"/>
  </w:num>
  <w:num w:numId="19" w16cid:durableId="1442335193">
    <w:abstractNumId w:val="15"/>
  </w:num>
  <w:num w:numId="20" w16cid:durableId="85346951">
    <w:abstractNumId w:val="13"/>
  </w:num>
  <w:num w:numId="21" w16cid:durableId="1383823342">
    <w:abstractNumId w:val="12"/>
  </w:num>
  <w:num w:numId="22" w16cid:durableId="280652226">
    <w:abstractNumId w:val="20"/>
  </w:num>
  <w:num w:numId="23" w16cid:durableId="256064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AB"/>
    <w:rsid w:val="00012A3D"/>
    <w:rsid w:val="0002610A"/>
    <w:rsid w:val="000731F7"/>
    <w:rsid w:val="00115A80"/>
    <w:rsid w:val="001507AB"/>
    <w:rsid w:val="001E2683"/>
    <w:rsid w:val="00226DCF"/>
    <w:rsid w:val="00283978"/>
    <w:rsid w:val="0028581A"/>
    <w:rsid w:val="002B5BA5"/>
    <w:rsid w:val="002B5EA6"/>
    <w:rsid w:val="002E18ED"/>
    <w:rsid w:val="002E750D"/>
    <w:rsid w:val="0030269A"/>
    <w:rsid w:val="00302BF0"/>
    <w:rsid w:val="0032222C"/>
    <w:rsid w:val="003650BE"/>
    <w:rsid w:val="003750D4"/>
    <w:rsid w:val="00381E3D"/>
    <w:rsid w:val="00386EA4"/>
    <w:rsid w:val="00407B78"/>
    <w:rsid w:val="00433CEB"/>
    <w:rsid w:val="004374F7"/>
    <w:rsid w:val="00444D39"/>
    <w:rsid w:val="00542A47"/>
    <w:rsid w:val="00586DC9"/>
    <w:rsid w:val="00595DDD"/>
    <w:rsid w:val="0059613B"/>
    <w:rsid w:val="005A11F5"/>
    <w:rsid w:val="005F4AA9"/>
    <w:rsid w:val="00601C6C"/>
    <w:rsid w:val="00660163"/>
    <w:rsid w:val="006679F4"/>
    <w:rsid w:val="006A4376"/>
    <w:rsid w:val="00724FDD"/>
    <w:rsid w:val="00753239"/>
    <w:rsid w:val="00756C58"/>
    <w:rsid w:val="00802F4C"/>
    <w:rsid w:val="00861AE8"/>
    <w:rsid w:val="008729A6"/>
    <w:rsid w:val="008A587F"/>
    <w:rsid w:val="008A7CB7"/>
    <w:rsid w:val="008B5FF3"/>
    <w:rsid w:val="008E5297"/>
    <w:rsid w:val="008F4B93"/>
    <w:rsid w:val="009754E0"/>
    <w:rsid w:val="00986A54"/>
    <w:rsid w:val="00A26CA7"/>
    <w:rsid w:val="00A313CE"/>
    <w:rsid w:val="00A919CD"/>
    <w:rsid w:val="00A967C9"/>
    <w:rsid w:val="00AA5AB7"/>
    <w:rsid w:val="00B43B4B"/>
    <w:rsid w:val="00B66BD6"/>
    <w:rsid w:val="00B66EA8"/>
    <w:rsid w:val="00CE63B7"/>
    <w:rsid w:val="00D14E15"/>
    <w:rsid w:val="00DA0C09"/>
    <w:rsid w:val="00DC2BA3"/>
    <w:rsid w:val="00DE7B5C"/>
    <w:rsid w:val="00E428CC"/>
    <w:rsid w:val="00E83DF3"/>
    <w:rsid w:val="00EC101E"/>
    <w:rsid w:val="00EC34C7"/>
    <w:rsid w:val="00EC3E65"/>
    <w:rsid w:val="00EC6FBF"/>
    <w:rsid w:val="00F443B2"/>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6D6E"/>
  <w14:defaultImageDpi w14:val="32767"/>
  <w15:chartTrackingRefBased/>
  <w15:docId w15:val="{B6563886-E197-470B-AEBA-7557FF7E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F838D-D82B-4D6B-9B60-0F5B47DF81F9}">
  <ds:schemaRefs>
    <ds:schemaRef ds:uri="http://schemas.openxmlformats.org/officeDocument/2006/bibliography"/>
  </ds:schemaRefs>
</ds:datastoreItem>
</file>

<file path=customXml/itemProps2.xml><?xml version="1.0" encoding="utf-8"?>
<ds:datastoreItem xmlns:ds="http://schemas.openxmlformats.org/officeDocument/2006/customXml" ds:itemID="{470EB869-FE47-4EED-B0A9-C228A667A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1255B-6761-4A06-828E-DF23DF815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10</TotalTime>
  <Pages>1</Pages>
  <Words>483</Words>
  <Characters>2658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11</cp:revision>
  <dcterms:created xsi:type="dcterms:W3CDTF">2019-06-17T17:47:00Z</dcterms:created>
  <dcterms:modified xsi:type="dcterms:W3CDTF">2023-11-21T14:12:00Z</dcterms:modified>
</cp:coreProperties>
</file>