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6CE1" w14:textId="77777777" w:rsidR="0030269A" w:rsidRPr="0084177B" w:rsidRDefault="0030269A" w:rsidP="003118D5">
      <w:pPr>
        <w:spacing w:before="0" w:after="0"/>
      </w:pPr>
    </w:p>
    <w:tbl>
      <w:tblPr>
        <w:tblStyle w:val="Grilledutableau"/>
        <w:tblW w:w="0" w:type="auto"/>
        <w:tblLook w:val="04A0" w:firstRow="1" w:lastRow="0" w:firstColumn="1" w:lastColumn="0" w:noHBand="0" w:noVBand="1"/>
      </w:tblPr>
      <w:tblGrid>
        <w:gridCol w:w="3325"/>
        <w:gridCol w:w="6745"/>
      </w:tblGrid>
      <w:tr w:rsidR="0030269A" w:rsidRPr="0084177B" w14:paraId="3ED7AA26" w14:textId="77777777" w:rsidTr="00012A3D">
        <w:tc>
          <w:tcPr>
            <w:tcW w:w="3325" w:type="dxa"/>
          </w:tcPr>
          <w:p w14:paraId="359EE8DA" w14:textId="77777777" w:rsidR="0030269A" w:rsidRPr="0084177B" w:rsidRDefault="0030269A" w:rsidP="003118D5">
            <w:pPr>
              <w:spacing w:before="60" w:after="60"/>
              <w:rPr>
                <w:b/>
              </w:rPr>
            </w:pPr>
            <w:r w:rsidRPr="0084177B">
              <w:rPr>
                <w:b/>
              </w:rPr>
              <w:t>Title</w:t>
            </w:r>
          </w:p>
        </w:tc>
        <w:tc>
          <w:tcPr>
            <w:tcW w:w="6745" w:type="dxa"/>
          </w:tcPr>
          <w:p w14:paraId="2C57C970" w14:textId="77777777" w:rsidR="0030269A" w:rsidRPr="0084177B" w:rsidRDefault="00750C36" w:rsidP="003118D5">
            <w:pPr>
              <w:spacing w:before="60" w:after="60"/>
            </w:pPr>
            <w:r w:rsidRPr="0084177B">
              <w:t>Initial Review – Criteria for REB Approval</w:t>
            </w:r>
          </w:p>
        </w:tc>
      </w:tr>
      <w:tr w:rsidR="0030269A" w:rsidRPr="0084177B" w14:paraId="66F8F055" w14:textId="77777777" w:rsidTr="00012A3D">
        <w:tc>
          <w:tcPr>
            <w:tcW w:w="3325" w:type="dxa"/>
          </w:tcPr>
          <w:p w14:paraId="72A75330" w14:textId="77777777" w:rsidR="0030269A" w:rsidRPr="0084177B" w:rsidRDefault="58B8826E" w:rsidP="003118D5">
            <w:pPr>
              <w:spacing w:before="60" w:after="60"/>
              <w:rPr>
                <w:b/>
                <w:bCs/>
              </w:rPr>
            </w:pPr>
            <w:r w:rsidRPr="0084177B">
              <w:rPr>
                <w:b/>
                <w:bCs/>
              </w:rPr>
              <w:t>SOP Code</w:t>
            </w:r>
          </w:p>
        </w:tc>
        <w:tc>
          <w:tcPr>
            <w:tcW w:w="6745" w:type="dxa"/>
          </w:tcPr>
          <w:p w14:paraId="182F3B0C" w14:textId="30A16CB3" w:rsidR="0030269A" w:rsidRPr="0084177B" w:rsidRDefault="58B8826E" w:rsidP="003118D5">
            <w:pPr>
              <w:spacing w:before="60" w:after="60"/>
            </w:pPr>
            <w:r w:rsidRPr="0084177B">
              <w:t>REB</w:t>
            </w:r>
            <w:r w:rsidR="00660163" w:rsidRPr="0084177B">
              <w:t>-</w:t>
            </w:r>
            <w:r w:rsidRPr="0084177B">
              <w:t>SOP</w:t>
            </w:r>
            <w:r w:rsidR="00012A3D" w:rsidRPr="0084177B">
              <w:t xml:space="preserve"> </w:t>
            </w:r>
            <w:r w:rsidR="00630252" w:rsidRPr="0084177B">
              <w:t>403</w:t>
            </w:r>
            <w:r w:rsidR="00837A91" w:rsidRPr="0084177B">
              <w:t>-002</w:t>
            </w:r>
          </w:p>
        </w:tc>
      </w:tr>
      <w:tr w:rsidR="0030269A" w:rsidRPr="0084177B" w14:paraId="77F959E8" w14:textId="77777777" w:rsidTr="00012A3D">
        <w:tc>
          <w:tcPr>
            <w:tcW w:w="3325" w:type="dxa"/>
          </w:tcPr>
          <w:p w14:paraId="7728D6D3" w14:textId="77777777" w:rsidR="0030269A" w:rsidRPr="0084177B" w:rsidRDefault="0030269A" w:rsidP="003118D5">
            <w:pPr>
              <w:spacing w:before="60" w:after="60"/>
              <w:rPr>
                <w:b/>
              </w:rPr>
            </w:pPr>
            <w:r w:rsidRPr="0084177B">
              <w:rPr>
                <w:b/>
              </w:rPr>
              <w:t>N2/CAREB SOP CODE</w:t>
            </w:r>
          </w:p>
        </w:tc>
        <w:tc>
          <w:tcPr>
            <w:tcW w:w="6745" w:type="dxa"/>
          </w:tcPr>
          <w:p w14:paraId="74C656B5" w14:textId="3BD3E20C" w:rsidR="0030269A" w:rsidRPr="0084177B" w:rsidRDefault="00630252" w:rsidP="003118D5">
            <w:pPr>
              <w:spacing w:before="60" w:after="60"/>
            </w:pPr>
            <w:r w:rsidRPr="0084177B">
              <w:t>SOP 403</w:t>
            </w:r>
            <w:r w:rsidR="00837A91" w:rsidRPr="0084177B">
              <w:t>-003</w:t>
            </w:r>
          </w:p>
        </w:tc>
      </w:tr>
      <w:tr w:rsidR="0030269A" w:rsidRPr="0084177B" w14:paraId="2892D833" w14:textId="77777777" w:rsidTr="00012A3D">
        <w:tc>
          <w:tcPr>
            <w:tcW w:w="3325" w:type="dxa"/>
          </w:tcPr>
          <w:p w14:paraId="33FB18BC" w14:textId="77777777" w:rsidR="0030269A" w:rsidRPr="0084177B" w:rsidRDefault="0030269A" w:rsidP="003118D5">
            <w:pPr>
              <w:spacing w:before="60" w:after="60"/>
              <w:rPr>
                <w:b/>
              </w:rPr>
            </w:pPr>
            <w:r w:rsidRPr="0084177B">
              <w:rPr>
                <w:b/>
              </w:rPr>
              <w:t>Effective Date</w:t>
            </w:r>
          </w:p>
        </w:tc>
        <w:tc>
          <w:tcPr>
            <w:tcW w:w="6745" w:type="dxa"/>
          </w:tcPr>
          <w:p w14:paraId="42F0BD16" w14:textId="77777777" w:rsidR="0030269A" w:rsidRPr="0084177B" w:rsidRDefault="0030269A" w:rsidP="003118D5">
            <w:pPr>
              <w:spacing w:before="60" w:after="60"/>
            </w:pPr>
            <w:r w:rsidRPr="0084177B">
              <w:rPr>
                <w:highlight w:val="yellow"/>
              </w:rPr>
              <w:t>YYYY-MM-DD</w:t>
            </w:r>
          </w:p>
        </w:tc>
      </w:tr>
    </w:tbl>
    <w:p w14:paraId="247CE2E3" w14:textId="77777777" w:rsidR="0030269A" w:rsidRPr="0084177B" w:rsidRDefault="0030269A" w:rsidP="003118D5"/>
    <w:tbl>
      <w:tblPr>
        <w:tblStyle w:val="Grilledutableau"/>
        <w:tblW w:w="0" w:type="auto"/>
        <w:tblLook w:val="04A0" w:firstRow="1" w:lastRow="0" w:firstColumn="1" w:lastColumn="0" w:noHBand="0" w:noVBand="1"/>
      </w:tblPr>
      <w:tblGrid>
        <w:gridCol w:w="3325"/>
        <w:gridCol w:w="4467"/>
        <w:gridCol w:w="2206"/>
      </w:tblGrid>
      <w:tr w:rsidR="0030269A" w:rsidRPr="0084177B" w14:paraId="40DE8780" w14:textId="77777777" w:rsidTr="00012A3D">
        <w:tc>
          <w:tcPr>
            <w:tcW w:w="3325" w:type="dxa"/>
            <w:shd w:val="clear" w:color="auto" w:fill="D9D9D9" w:themeFill="background1" w:themeFillShade="D9"/>
          </w:tcPr>
          <w:p w14:paraId="6618E771" w14:textId="77777777" w:rsidR="0030269A" w:rsidRPr="0084177B" w:rsidRDefault="0030269A" w:rsidP="003118D5">
            <w:pPr>
              <w:spacing w:before="60" w:after="60"/>
              <w:jc w:val="center"/>
              <w:rPr>
                <w:b/>
              </w:rPr>
            </w:pPr>
            <w:r w:rsidRPr="0084177B">
              <w:rPr>
                <w:b/>
              </w:rPr>
              <w:t>Status</w:t>
            </w:r>
          </w:p>
        </w:tc>
        <w:tc>
          <w:tcPr>
            <w:tcW w:w="4467" w:type="dxa"/>
            <w:shd w:val="clear" w:color="auto" w:fill="D9D9D9" w:themeFill="background1" w:themeFillShade="D9"/>
          </w:tcPr>
          <w:p w14:paraId="6473D71B" w14:textId="77777777" w:rsidR="0030269A" w:rsidRPr="0084177B" w:rsidRDefault="0030269A" w:rsidP="003118D5">
            <w:pPr>
              <w:spacing w:before="60" w:after="60"/>
              <w:jc w:val="center"/>
              <w:rPr>
                <w:b/>
              </w:rPr>
            </w:pPr>
            <w:r w:rsidRPr="0084177B">
              <w:rPr>
                <w:b/>
              </w:rPr>
              <w:t>Name and Title</w:t>
            </w:r>
          </w:p>
        </w:tc>
        <w:tc>
          <w:tcPr>
            <w:tcW w:w="2206" w:type="dxa"/>
            <w:shd w:val="clear" w:color="auto" w:fill="D9D9D9" w:themeFill="background1" w:themeFillShade="D9"/>
          </w:tcPr>
          <w:p w14:paraId="4B1006B7" w14:textId="77777777" w:rsidR="0030269A" w:rsidRPr="0084177B" w:rsidRDefault="0030269A" w:rsidP="003118D5">
            <w:pPr>
              <w:spacing w:before="60" w:after="60"/>
              <w:jc w:val="center"/>
              <w:rPr>
                <w:b/>
              </w:rPr>
            </w:pPr>
            <w:r w:rsidRPr="0084177B">
              <w:rPr>
                <w:b/>
              </w:rPr>
              <w:t>Date</w:t>
            </w:r>
          </w:p>
        </w:tc>
      </w:tr>
      <w:tr w:rsidR="0030269A" w:rsidRPr="0084177B" w14:paraId="1AD5A21C" w14:textId="77777777" w:rsidTr="00012A3D">
        <w:tc>
          <w:tcPr>
            <w:tcW w:w="3325" w:type="dxa"/>
          </w:tcPr>
          <w:p w14:paraId="34011E5B" w14:textId="77777777" w:rsidR="0030269A" w:rsidRPr="0084177B" w:rsidRDefault="00012A3D" w:rsidP="003118D5">
            <w:pPr>
              <w:spacing w:before="60" w:after="60"/>
              <w:jc w:val="left"/>
              <w:rPr>
                <w:b/>
                <w:i/>
                <w:highlight w:val="yellow"/>
              </w:rPr>
            </w:pPr>
            <w:r w:rsidRPr="0084177B">
              <w:rPr>
                <w:b/>
                <w:i/>
              </w:rPr>
              <w:t>Author of Harmonized Template</w:t>
            </w:r>
          </w:p>
        </w:tc>
        <w:tc>
          <w:tcPr>
            <w:tcW w:w="4467" w:type="dxa"/>
          </w:tcPr>
          <w:p w14:paraId="29F64F45" w14:textId="4A93CA17" w:rsidR="0030269A" w:rsidRPr="0084177B" w:rsidRDefault="00837A91" w:rsidP="003118D5">
            <w:pPr>
              <w:spacing w:before="60" w:after="60"/>
            </w:pPr>
            <w:r w:rsidRPr="0084177B">
              <w:t xml:space="preserve">REB </w:t>
            </w:r>
            <w:r w:rsidR="00012A3D" w:rsidRPr="0084177B">
              <w:t>SOPs</w:t>
            </w:r>
            <w:r w:rsidRPr="0084177B">
              <w:t xml:space="preserve"> developed by CATALIS Network</w:t>
            </w:r>
          </w:p>
        </w:tc>
        <w:tc>
          <w:tcPr>
            <w:tcW w:w="2206" w:type="dxa"/>
          </w:tcPr>
          <w:p w14:paraId="694BC51C" w14:textId="22BCA521" w:rsidR="0030269A" w:rsidRPr="0084177B" w:rsidRDefault="00837A91" w:rsidP="003118D5">
            <w:pPr>
              <w:spacing w:before="60" w:after="60"/>
              <w:jc w:val="center"/>
            </w:pPr>
            <w:r w:rsidRPr="0084177B">
              <w:t>2023-05-01</w:t>
            </w:r>
          </w:p>
        </w:tc>
      </w:tr>
      <w:tr w:rsidR="005A11F5" w:rsidRPr="0084177B" w14:paraId="277EE83E" w14:textId="77777777" w:rsidTr="00012A3D">
        <w:tc>
          <w:tcPr>
            <w:tcW w:w="3325" w:type="dxa"/>
          </w:tcPr>
          <w:p w14:paraId="10B8C4F9" w14:textId="77777777" w:rsidR="005A11F5" w:rsidRPr="0084177B" w:rsidRDefault="005A11F5" w:rsidP="003118D5">
            <w:pPr>
              <w:spacing w:before="60" w:after="60"/>
              <w:rPr>
                <w:b/>
                <w:i/>
                <w:highlight w:val="yellow"/>
              </w:rPr>
            </w:pPr>
            <w:r w:rsidRPr="0084177B">
              <w:rPr>
                <w:b/>
                <w:i/>
              </w:rPr>
              <w:t>Approved</w:t>
            </w:r>
          </w:p>
        </w:tc>
        <w:tc>
          <w:tcPr>
            <w:tcW w:w="4467" w:type="dxa"/>
          </w:tcPr>
          <w:p w14:paraId="1B692BCC" w14:textId="37EA18CD" w:rsidR="005A11F5" w:rsidRPr="0084177B" w:rsidRDefault="008F4B93" w:rsidP="003118D5">
            <w:pPr>
              <w:spacing w:before="60" w:after="60"/>
            </w:pPr>
            <w:r w:rsidRPr="0084177B">
              <w:t>REB Full Board Meeting XXX</w:t>
            </w:r>
          </w:p>
        </w:tc>
        <w:tc>
          <w:tcPr>
            <w:tcW w:w="2206" w:type="dxa"/>
          </w:tcPr>
          <w:p w14:paraId="2CC1F273" w14:textId="77777777" w:rsidR="005A11F5" w:rsidRPr="0084177B" w:rsidRDefault="005A11F5" w:rsidP="003118D5">
            <w:pPr>
              <w:spacing w:before="60" w:after="60"/>
              <w:jc w:val="center"/>
            </w:pPr>
            <w:r w:rsidRPr="0084177B">
              <w:t>YYYY-MM-DD</w:t>
            </w:r>
          </w:p>
        </w:tc>
      </w:tr>
      <w:tr w:rsidR="005A11F5" w:rsidRPr="0084177B" w14:paraId="76951590" w14:textId="77777777" w:rsidTr="00012A3D">
        <w:tc>
          <w:tcPr>
            <w:tcW w:w="3325" w:type="dxa"/>
          </w:tcPr>
          <w:p w14:paraId="4AA04A6B" w14:textId="2005590C" w:rsidR="005A11F5" w:rsidRPr="0084177B" w:rsidRDefault="00837A91" w:rsidP="003118D5">
            <w:pPr>
              <w:spacing w:before="60" w:after="60"/>
              <w:rPr>
                <w:b/>
                <w:i/>
                <w:highlight w:val="yellow"/>
              </w:rPr>
            </w:pPr>
            <w:r w:rsidRPr="0084177B">
              <w:rPr>
                <w:b/>
                <w:i/>
              </w:rPr>
              <w:t>[Approved] or [</w:t>
            </w:r>
            <w:r w:rsidR="005A11F5" w:rsidRPr="0084177B">
              <w:rPr>
                <w:b/>
                <w:i/>
              </w:rPr>
              <w:t>Acknowledge receipt</w:t>
            </w:r>
            <w:r w:rsidRPr="0084177B">
              <w:rPr>
                <w:b/>
                <w:i/>
              </w:rPr>
              <w:t>]</w:t>
            </w:r>
          </w:p>
        </w:tc>
        <w:tc>
          <w:tcPr>
            <w:tcW w:w="4467" w:type="dxa"/>
          </w:tcPr>
          <w:p w14:paraId="0253D80C" w14:textId="77EBC856" w:rsidR="005A11F5" w:rsidRPr="0084177B" w:rsidRDefault="00E428CC" w:rsidP="003118D5">
            <w:pPr>
              <w:spacing w:before="60" w:after="60"/>
            </w:pPr>
            <w:r w:rsidRPr="0084177B">
              <w:t xml:space="preserve">CA </w:t>
            </w:r>
            <w:r w:rsidR="005A11F5" w:rsidRPr="0084177B">
              <w:t>XXX</w:t>
            </w:r>
          </w:p>
        </w:tc>
        <w:tc>
          <w:tcPr>
            <w:tcW w:w="2206" w:type="dxa"/>
          </w:tcPr>
          <w:p w14:paraId="6593EA6C" w14:textId="77777777" w:rsidR="005A11F5" w:rsidRPr="0084177B" w:rsidRDefault="005A11F5" w:rsidP="003118D5">
            <w:pPr>
              <w:spacing w:before="60" w:after="60"/>
              <w:jc w:val="center"/>
            </w:pPr>
            <w:r w:rsidRPr="0084177B">
              <w:t>YYYY-MM-DD</w:t>
            </w:r>
          </w:p>
        </w:tc>
      </w:tr>
    </w:tbl>
    <w:p w14:paraId="50692E79" w14:textId="77777777" w:rsidR="002E18ED" w:rsidRPr="0084177B" w:rsidRDefault="002E18ED" w:rsidP="003118D5">
      <w:pPr>
        <w:rPr>
          <w:b/>
        </w:rPr>
      </w:pPr>
    </w:p>
    <w:p w14:paraId="6E28A6DB" w14:textId="77777777" w:rsidR="0030269A" w:rsidRPr="0084177B" w:rsidRDefault="0030269A" w:rsidP="003118D5">
      <w:pPr>
        <w:rPr>
          <w:b/>
        </w:rPr>
      </w:pPr>
      <w:r w:rsidRPr="0084177B">
        <w:rPr>
          <w:b/>
        </w:rPr>
        <w:t>Table of Content</w:t>
      </w:r>
    </w:p>
    <w:p w14:paraId="30C3C3E0" w14:textId="0DF7180C" w:rsidR="00D34F72" w:rsidRDefault="0030269A">
      <w:pPr>
        <w:pStyle w:val="TM1"/>
        <w:rPr>
          <w:kern w:val="2"/>
          <w:sz w:val="22"/>
          <w:szCs w:val="22"/>
          <w:lang w:val="fr-CA" w:eastAsia="fr-CA"/>
          <w14:ligatures w14:val="standardContextual"/>
        </w:rPr>
      </w:pPr>
      <w:r w:rsidRPr="0084177B">
        <w:rPr>
          <w:noProof w:val="0"/>
        </w:rPr>
        <w:fldChar w:fldCharType="begin"/>
      </w:r>
      <w:r w:rsidRPr="0084177B">
        <w:rPr>
          <w:noProof w:val="0"/>
        </w:rPr>
        <w:instrText xml:space="preserve"> TOC \o "1-2" \u </w:instrText>
      </w:r>
      <w:r w:rsidRPr="0084177B">
        <w:rPr>
          <w:noProof w:val="0"/>
        </w:rPr>
        <w:fldChar w:fldCharType="separate"/>
      </w:r>
      <w:r w:rsidR="00D34F72">
        <w:t>1</w:t>
      </w:r>
      <w:r w:rsidR="00D34F72">
        <w:rPr>
          <w:kern w:val="2"/>
          <w:sz w:val="22"/>
          <w:szCs w:val="22"/>
          <w:lang w:val="fr-CA" w:eastAsia="fr-CA"/>
          <w14:ligatures w14:val="standardContextual"/>
        </w:rPr>
        <w:tab/>
      </w:r>
      <w:r w:rsidR="00D34F72">
        <w:t>Purpose</w:t>
      </w:r>
      <w:r w:rsidR="00D34F72">
        <w:tab/>
      </w:r>
      <w:r w:rsidR="00D34F72">
        <w:fldChar w:fldCharType="begin"/>
      </w:r>
      <w:r w:rsidR="00D34F72">
        <w:instrText xml:space="preserve"> PAGEREF _Toc151477297 \h </w:instrText>
      </w:r>
      <w:r w:rsidR="00D34F72">
        <w:fldChar w:fldCharType="separate"/>
      </w:r>
      <w:r w:rsidR="00D34F72">
        <w:t>1</w:t>
      </w:r>
      <w:r w:rsidR="00D34F72">
        <w:fldChar w:fldCharType="end"/>
      </w:r>
    </w:p>
    <w:p w14:paraId="613E4416" w14:textId="130A53E8" w:rsidR="00D34F72" w:rsidRDefault="00D34F72">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_Toc151477298 \h </w:instrText>
      </w:r>
      <w:r>
        <w:fldChar w:fldCharType="separate"/>
      </w:r>
      <w:r>
        <w:t>2</w:t>
      </w:r>
      <w:r>
        <w:fldChar w:fldCharType="end"/>
      </w:r>
    </w:p>
    <w:p w14:paraId="2CC6E66C" w14:textId="14E04226" w:rsidR="00D34F72" w:rsidRDefault="00D34F72">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_Toc151477299 \h </w:instrText>
      </w:r>
      <w:r>
        <w:fldChar w:fldCharType="separate"/>
      </w:r>
      <w:r>
        <w:t>2</w:t>
      </w:r>
      <w:r>
        <w:fldChar w:fldCharType="end"/>
      </w:r>
    </w:p>
    <w:p w14:paraId="65827C52" w14:textId="47C55822" w:rsidR="00D34F72" w:rsidRDefault="00D34F72">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_Toc151477300 \h </w:instrText>
      </w:r>
      <w:r>
        <w:fldChar w:fldCharType="separate"/>
      </w:r>
      <w:r>
        <w:t>2</w:t>
      </w:r>
      <w:r>
        <w:fldChar w:fldCharType="end"/>
      </w:r>
    </w:p>
    <w:p w14:paraId="59E853BE" w14:textId="60E90FF7" w:rsidR="00D34F72" w:rsidRDefault="00D34F72">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_Toc151477301 \h </w:instrText>
      </w:r>
      <w:r>
        <w:fldChar w:fldCharType="separate"/>
      </w:r>
      <w:r>
        <w:t>2</w:t>
      </w:r>
      <w:r>
        <w:fldChar w:fldCharType="end"/>
      </w:r>
    </w:p>
    <w:p w14:paraId="40E186D3" w14:textId="3AA50807" w:rsidR="00D34F72" w:rsidRDefault="00D34F72">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Minimal Criteria for Approval of Research</w:t>
      </w:r>
      <w:r>
        <w:tab/>
      </w:r>
      <w:r>
        <w:fldChar w:fldCharType="begin"/>
      </w:r>
      <w:r>
        <w:instrText xml:space="preserve"> PAGEREF _Toc151477302 \h </w:instrText>
      </w:r>
      <w:r>
        <w:fldChar w:fldCharType="separate"/>
      </w:r>
      <w:r>
        <w:t>2</w:t>
      </w:r>
      <w:r>
        <w:fldChar w:fldCharType="end"/>
      </w:r>
    </w:p>
    <w:p w14:paraId="26FE2E96" w14:textId="245D3559" w:rsidR="00D34F72" w:rsidRDefault="00D34F72">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Additional Criteria</w:t>
      </w:r>
      <w:r>
        <w:tab/>
      </w:r>
      <w:r>
        <w:fldChar w:fldCharType="begin"/>
      </w:r>
      <w:r>
        <w:instrText xml:space="preserve"> PAGEREF _Toc151477303 \h </w:instrText>
      </w:r>
      <w:r>
        <w:fldChar w:fldCharType="separate"/>
      </w:r>
      <w:r>
        <w:t>5</w:t>
      </w:r>
      <w:r>
        <w:fldChar w:fldCharType="end"/>
      </w:r>
    </w:p>
    <w:p w14:paraId="004DF37B" w14:textId="66EAE104" w:rsidR="00D34F72" w:rsidRDefault="00D34F72">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Length of Approval Period</w:t>
      </w:r>
      <w:r>
        <w:tab/>
      </w:r>
      <w:r>
        <w:fldChar w:fldCharType="begin"/>
      </w:r>
      <w:r>
        <w:instrText xml:space="preserve"> PAGEREF _Toc151477304 \h </w:instrText>
      </w:r>
      <w:r>
        <w:fldChar w:fldCharType="separate"/>
      </w:r>
      <w:r>
        <w:t>5</w:t>
      </w:r>
      <w:r>
        <w:fldChar w:fldCharType="end"/>
      </w:r>
    </w:p>
    <w:p w14:paraId="498277FF" w14:textId="160AC8C5" w:rsidR="00D34F72" w:rsidRDefault="00D34F72">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_Toc151477305 \h </w:instrText>
      </w:r>
      <w:r>
        <w:fldChar w:fldCharType="separate"/>
      </w:r>
      <w:r>
        <w:t>5</w:t>
      </w:r>
      <w:r>
        <w:fldChar w:fldCharType="end"/>
      </w:r>
    </w:p>
    <w:p w14:paraId="2D4241F6" w14:textId="2D563277" w:rsidR="00D34F72" w:rsidRDefault="00D34F72">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_Toc151477306 \h </w:instrText>
      </w:r>
      <w:r>
        <w:fldChar w:fldCharType="separate"/>
      </w:r>
      <w:r>
        <w:t>5</w:t>
      </w:r>
      <w:r>
        <w:fldChar w:fldCharType="end"/>
      </w:r>
    </w:p>
    <w:p w14:paraId="61E957CD" w14:textId="449551B7" w:rsidR="00D34F72" w:rsidRDefault="00D34F72">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Appendix</w:t>
      </w:r>
      <w:r>
        <w:tab/>
      </w:r>
      <w:r>
        <w:fldChar w:fldCharType="begin"/>
      </w:r>
      <w:r>
        <w:instrText xml:space="preserve"> PAGEREF _Toc151477307 \h </w:instrText>
      </w:r>
      <w:r>
        <w:fldChar w:fldCharType="separate"/>
      </w:r>
      <w:r>
        <w:t>5</w:t>
      </w:r>
      <w:r>
        <w:fldChar w:fldCharType="end"/>
      </w:r>
    </w:p>
    <w:p w14:paraId="6DF9AD30" w14:textId="4FDA40B8" w:rsidR="002B5BA5" w:rsidRPr="0084177B" w:rsidRDefault="0030269A" w:rsidP="003118D5">
      <w:r w:rsidRPr="0084177B">
        <w:rPr>
          <w:rFonts w:eastAsiaTheme="minorEastAsia" w:cstheme="minorHAnsi"/>
          <w:lang w:eastAsia="fr-FR"/>
        </w:rPr>
        <w:fldChar w:fldCharType="end"/>
      </w:r>
    </w:p>
    <w:p w14:paraId="1E760266" w14:textId="77777777" w:rsidR="00B66BD6" w:rsidRPr="0084177B" w:rsidRDefault="00756C58" w:rsidP="003118D5">
      <w:pPr>
        <w:pStyle w:val="Titre1"/>
        <w:widowControl/>
      </w:pPr>
      <w:bookmarkStart w:id="0" w:name="_Toc151477297"/>
      <w:r w:rsidRPr="0084177B">
        <w:t>Purpose</w:t>
      </w:r>
      <w:bookmarkEnd w:id="0"/>
    </w:p>
    <w:p w14:paraId="3046D58D" w14:textId="77777777" w:rsidR="00750C36" w:rsidRPr="0084177B" w:rsidRDefault="00750C36" w:rsidP="003118D5">
      <w:r w:rsidRPr="0084177B">
        <w:t>This standard operating procedure (SOP) describes the minimum requirements that research proposals involving human participants must meet in order to be approved by the Research Ethics Board (REB), independent of the review pathway (</w:t>
      </w:r>
      <w:proofErr w:type="gramStart"/>
      <w:r w:rsidRPr="0084177B">
        <w:t>i.e.</w:t>
      </w:r>
      <w:proofErr w:type="gramEnd"/>
      <w:r w:rsidRPr="0084177B">
        <w:t xml:space="preserve"> Full Board or delegated review).</w:t>
      </w:r>
    </w:p>
    <w:p w14:paraId="287B5B8A" w14:textId="77777777" w:rsidR="00750C36" w:rsidRPr="0084177B" w:rsidRDefault="00750C36" w:rsidP="003118D5">
      <w:pPr>
        <w:pStyle w:val="Titre1"/>
        <w:widowControl/>
      </w:pPr>
      <w:r w:rsidRPr="0084177B">
        <w:lastRenderedPageBreak/>
        <w:tab/>
      </w:r>
      <w:bookmarkStart w:id="1" w:name="_Toc151477298"/>
      <w:r w:rsidR="00EB3982" w:rsidRPr="0084177B">
        <w:t>Scope</w:t>
      </w:r>
      <w:bookmarkEnd w:id="1"/>
    </w:p>
    <w:p w14:paraId="1F738464" w14:textId="77777777" w:rsidR="00750C36" w:rsidRPr="0084177B" w:rsidRDefault="00750C36" w:rsidP="003118D5">
      <w:r w:rsidRPr="0084177B">
        <w:t>This SOP pertains to REBs that review human participant research in compliance with applicable regulations and guidelines.</w:t>
      </w:r>
    </w:p>
    <w:p w14:paraId="2DAAC034" w14:textId="77777777" w:rsidR="00750C36" w:rsidRPr="0084177B" w:rsidRDefault="00EB3982" w:rsidP="003118D5">
      <w:pPr>
        <w:pStyle w:val="Titre1"/>
        <w:widowControl/>
      </w:pPr>
      <w:r w:rsidRPr="0084177B">
        <w:tab/>
      </w:r>
      <w:bookmarkStart w:id="2" w:name="_Toc151477299"/>
      <w:r w:rsidRPr="0084177B">
        <w:t>Responsibilities</w:t>
      </w:r>
      <w:bookmarkEnd w:id="2"/>
    </w:p>
    <w:p w14:paraId="0A9C567F" w14:textId="77777777" w:rsidR="00750C36" w:rsidRPr="0084177B" w:rsidRDefault="00750C36" w:rsidP="003118D5">
      <w:r w:rsidRPr="0084177B">
        <w:t>All REB members and designated REB staff are responsible for ensuring that the requirements of this SOP are met.</w:t>
      </w:r>
    </w:p>
    <w:p w14:paraId="2AAF042E" w14:textId="77777777" w:rsidR="00750C36" w:rsidRPr="0084177B" w:rsidRDefault="00750C36" w:rsidP="003118D5">
      <w:r w:rsidRPr="0084177B">
        <w:t>The REB members are responsible for determining whether the research meets the criteria for approval.</w:t>
      </w:r>
    </w:p>
    <w:p w14:paraId="17401B7A" w14:textId="77777777" w:rsidR="00756C58" w:rsidRPr="0084177B" w:rsidRDefault="00EB3982" w:rsidP="003118D5">
      <w:pPr>
        <w:pStyle w:val="Titre1"/>
        <w:widowControl/>
      </w:pPr>
      <w:bookmarkStart w:id="3" w:name="_Toc151477300"/>
      <w:r w:rsidRPr="0084177B">
        <w:t>Definitions</w:t>
      </w:r>
      <w:bookmarkEnd w:id="3"/>
    </w:p>
    <w:p w14:paraId="116AC4BB" w14:textId="77777777" w:rsidR="002E18ED" w:rsidRPr="0084177B" w:rsidRDefault="00A313CE" w:rsidP="003118D5">
      <w:r w:rsidRPr="0084177B">
        <w:t>See Glossary of Terms.</w:t>
      </w:r>
    </w:p>
    <w:p w14:paraId="4809F042" w14:textId="77777777" w:rsidR="00756C58" w:rsidRPr="0084177B" w:rsidRDefault="00EB3982" w:rsidP="003118D5">
      <w:pPr>
        <w:pStyle w:val="Titre1"/>
        <w:widowControl/>
      </w:pPr>
      <w:bookmarkStart w:id="4" w:name="_Toc151477301"/>
      <w:r w:rsidRPr="0084177B">
        <w:t>Procedures</w:t>
      </w:r>
      <w:bookmarkEnd w:id="4"/>
    </w:p>
    <w:p w14:paraId="4052E1E7" w14:textId="77777777" w:rsidR="00750C36" w:rsidRPr="0084177B" w:rsidRDefault="00750C36" w:rsidP="003118D5">
      <w:r w:rsidRPr="0084177B">
        <w:t>All research involving human participants must meet certain criteria before REB approval may be granted. Initial REB approval of the research is based on assessment of a complete submission to the REB. The REB and/or REB Support Staff may consult the Researcher for additional information as necessary.</w:t>
      </w:r>
    </w:p>
    <w:p w14:paraId="46B13129" w14:textId="77777777" w:rsidR="00750C36" w:rsidRPr="0084177B" w:rsidRDefault="00750C36" w:rsidP="003118D5">
      <w:r w:rsidRPr="0084177B">
        <w:t xml:space="preserve">Following initial review of the research in accordance with the relevant SOPs, the REB should be prepared to </w:t>
      </w:r>
      <w:proofErr w:type="gramStart"/>
      <w:r w:rsidRPr="0084177B">
        <w:t>make a determination</w:t>
      </w:r>
      <w:proofErr w:type="gramEnd"/>
      <w:r w:rsidRPr="0084177B">
        <w:t xml:space="preserve"> as to the approvability of the research.</w:t>
      </w:r>
    </w:p>
    <w:p w14:paraId="16B7CE5C" w14:textId="77777777" w:rsidR="00750C36" w:rsidRPr="0084177B" w:rsidRDefault="00750C36" w:rsidP="003118D5">
      <w:pPr>
        <w:pStyle w:val="Titre2"/>
        <w:widowControl/>
      </w:pPr>
      <w:bookmarkStart w:id="5" w:name="_Toc151477302"/>
      <w:r w:rsidRPr="0084177B">
        <w:t>Minimal Criteria for Approval of Research</w:t>
      </w:r>
      <w:bookmarkEnd w:id="5"/>
    </w:p>
    <w:p w14:paraId="24745872" w14:textId="77777777" w:rsidR="00750C36" w:rsidRPr="0084177B" w:rsidRDefault="00750C36" w:rsidP="003118D5">
      <w:proofErr w:type="gramStart"/>
      <w:r w:rsidRPr="0084177B">
        <w:t>In order for</w:t>
      </w:r>
      <w:proofErr w:type="gramEnd"/>
      <w:r w:rsidRPr="0084177B">
        <w:t xml:space="preserve"> the research to receive REB approval, the REB will take the following into consideration:</w:t>
      </w:r>
    </w:p>
    <w:p w14:paraId="1E71C9A9" w14:textId="580F47FB" w:rsidR="00750C36" w:rsidRPr="0084177B" w:rsidRDefault="00750C36" w:rsidP="00955A89">
      <w:pPr>
        <w:pStyle w:val="Titre3"/>
        <w:keepNext/>
        <w:widowControl/>
        <w:ind w:left="1138" w:hanging="1138"/>
      </w:pPr>
      <w:r w:rsidRPr="0084177B">
        <w:t>The application has been signed by the Researcher or designe</w:t>
      </w:r>
      <w:r w:rsidR="00702B98">
        <w:t>e.</w:t>
      </w:r>
      <w:r w:rsidRPr="0084177B">
        <w:rPr>
          <w:vertAlign w:val="superscript"/>
        </w:rPr>
        <w:footnoteReference w:id="1"/>
      </w:r>
      <w:r w:rsidR="003F73C1">
        <w:t xml:space="preserve"> </w:t>
      </w:r>
      <w:r w:rsidRPr="0084177B">
        <w:t>The REB may require the Researcher to submit the following documents indicating that the Researcher has the qualifications to conduct the research</w:t>
      </w:r>
      <w:r w:rsidRPr="0084177B">
        <w:rPr>
          <w:vertAlign w:val="superscript"/>
        </w:rPr>
        <w:footnoteReference w:id="2"/>
      </w:r>
      <w:r w:rsidRPr="0084177B">
        <w:t>:</w:t>
      </w:r>
    </w:p>
    <w:p w14:paraId="0E520D5F" w14:textId="77777777" w:rsidR="00750C36" w:rsidRPr="0084177B" w:rsidRDefault="00750C36" w:rsidP="003118D5">
      <w:pPr>
        <w:pStyle w:val="SOPBulletC"/>
      </w:pPr>
      <w:r w:rsidRPr="0084177B">
        <w:t>CV,</w:t>
      </w:r>
    </w:p>
    <w:p w14:paraId="7CD7B918" w14:textId="77777777" w:rsidR="00750C36" w:rsidRPr="0084177B" w:rsidRDefault="00750C36" w:rsidP="003118D5">
      <w:pPr>
        <w:pStyle w:val="SOPBulletC"/>
      </w:pPr>
      <w:r w:rsidRPr="0084177B">
        <w:t>For clinical trials, licence to practice,</w:t>
      </w:r>
    </w:p>
    <w:p w14:paraId="7AE4C7C6" w14:textId="08F3D871" w:rsidR="00750C36" w:rsidRPr="0084177B" w:rsidRDefault="00750C36" w:rsidP="003118D5">
      <w:pPr>
        <w:pStyle w:val="SOPBulletC"/>
      </w:pPr>
      <w:r w:rsidRPr="0084177B">
        <w:t xml:space="preserve">Proof of research </w:t>
      </w:r>
      <w:proofErr w:type="gramStart"/>
      <w:r w:rsidRPr="0084177B">
        <w:t>privileges;</w:t>
      </w:r>
      <w:proofErr w:type="gramEnd"/>
    </w:p>
    <w:p w14:paraId="35D0F316" w14:textId="77777777" w:rsidR="00750C36" w:rsidRPr="0084177B" w:rsidRDefault="00750C36" w:rsidP="003118D5">
      <w:pPr>
        <w:pStyle w:val="Titre3"/>
        <w:widowControl/>
      </w:pPr>
      <w:r w:rsidRPr="0084177B">
        <w:lastRenderedPageBreak/>
        <w:t>Any conflicts of interest (real, potential, or perceived) are declared and managed appropriately to prevent any compromises to the safety or well-being of the participants or to the integrity of the data</w:t>
      </w:r>
      <w:r w:rsidRPr="0084177B">
        <w:rPr>
          <w:vertAlign w:val="superscript"/>
        </w:rPr>
        <w:footnoteReference w:id="3"/>
      </w:r>
      <w:r w:rsidRPr="0084177B">
        <w:t>;</w:t>
      </w:r>
    </w:p>
    <w:p w14:paraId="2C0A6C15" w14:textId="77777777" w:rsidR="00750C36" w:rsidRPr="0084177B" w:rsidRDefault="00750C36" w:rsidP="003118D5">
      <w:pPr>
        <w:pStyle w:val="Titre3"/>
        <w:widowControl/>
      </w:pPr>
      <w:r w:rsidRPr="0084177B">
        <w:t xml:space="preserve">Where relevant, there is a state of clinical </w:t>
      </w:r>
      <w:proofErr w:type="gramStart"/>
      <w:r w:rsidRPr="0084177B">
        <w:t>equipoise;</w:t>
      </w:r>
      <w:proofErr w:type="gramEnd"/>
    </w:p>
    <w:p w14:paraId="26E13A59" w14:textId="77777777" w:rsidR="00750C36" w:rsidRPr="0084177B" w:rsidRDefault="00750C36" w:rsidP="003118D5">
      <w:pPr>
        <w:pStyle w:val="Titre3"/>
        <w:widowControl/>
      </w:pPr>
      <w:r w:rsidRPr="0084177B">
        <w:t>The research will generate knowledge that could be generalized and lead to improvements in health or well-being</w:t>
      </w:r>
      <w:r w:rsidRPr="0084177B">
        <w:rPr>
          <w:vertAlign w:val="superscript"/>
        </w:rPr>
        <w:footnoteReference w:id="4"/>
      </w:r>
      <w:r w:rsidRPr="0084177B">
        <w:t>;</w:t>
      </w:r>
    </w:p>
    <w:p w14:paraId="29881E35" w14:textId="77777777" w:rsidR="00750C36" w:rsidRPr="0084177B" w:rsidRDefault="00750C36" w:rsidP="003118D5">
      <w:pPr>
        <w:pStyle w:val="Titre3"/>
        <w:widowControl/>
      </w:pPr>
      <w:r w:rsidRPr="0084177B">
        <w:t>The methodology is scientifically sound and capable of answering the research question</w:t>
      </w:r>
      <w:r w:rsidRPr="0084177B">
        <w:rPr>
          <w:vertAlign w:val="superscript"/>
        </w:rPr>
        <w:footnoteReference w:id="5"/>
      </w:r>
      <w:r w:rsidRPr="0084177B">
        <w:t>;</w:t>
      </w:r>
    </w:p>
    <w:p w14:paraId="65FBA1BB" w14:textId="77777777" w:rsidR="00750C36" w:rsidRPr="0084177B" w:rsidRDefault="00750C36" w:rsidP="003118D5">
      <w:pPr>
        <w:pStyle w:val="Titre3"/>
        <w:widowControl/>
      </w:pPr>
      <w:r w:rsidRPr="0084177B">
        <w:t>The risks to participants are minimized by:</w:t>
      </w:r>
    </w:p>
    <w:p w14:paraId="017871E8" w14:textId="77777777" w:rsidR="00750C36" w:rsidRPr="0084177B" w:rsidRDefault="00750C36" w:rsidP="003118D5">
      <w:pPr>
        <w:pStyle w:val="SOPBulletC"/>
      </w:pPr>
      <w:r w:rsidRPr="0084177B">
        <w:t>Using procedures that are consistent with sound research design and that do not expose participants to unnecessary risk, and</w:t>
      </w:r>
    </w:p>
    <w:p w14:paraId="04B68523" w14:textId="77777777" w:rsidR="00750C36" w:rsidRPr="0084177B" w:rsidRDefault="00750C36" w:rsidP="003118D5">
      <w:pPr>
        <w:pStyle w:val="SOPBulletC"/>
      </w:pPr>
      <w:r w:rsidRPr="0084177B">
        <w:t xml:space="preserve">By using procedures already being performed on the participants for diagnostic or treatment purposes whenever </w:t>
      </w:r>
      <w:proofErr w:type="gramStart"/>
      <w:r w:rsidRPr="0084177B">
        <w:t>appropriate;</w:t>
      </w:r>
      <w:proofErr w:type="gramEnd"/>
    </w:p>
    <w:p w14:paraId="691E3780" w14:textId="77777777" w:rsidR="00750C36" w:rsidRPr="0084177B" w:rsidRDefault="00750C36" w:rsidP="003118D5">
      <w:pPr>
        <w:pStyle w:val="Titre3"/>
        <w:widowControl/>
      </w:pPr>
      <w:r w:rsidRPr="0084177B">
        <w:t>The risks to participants are reasonable in relation to the anticipated benefits, if any, and to the importance of the knowledge that will be generated</w:t>
      </w:r>
      <w:r w:rsidRPr="0084177B">
        <w:rPr>
          <w:vertAlign w:val="superscript"/>
        </w:rPr>
        <w:footnoteReference w:id="6"/>
      </w:r>
      <w:r w:rsidRPr="0084177B">
        <w:t>;</w:t>
      </w:r>
    </w:p>
    <w:p w14:paraId="47442025" w14:textId="77777777" w:rsidR="00750C36" w:rsidRPr="0084177B" w:rsidRDefault="00750C36" w:rsidP="003118D5">
      <w:pPr>
        <w:pStyle w:val="Titre3"/>
        <w:widowControl/>
      </w:pPr>
      <w:r w:rsidRPr="0084177B">
        <w:t xml:space="preserve">The selection of participants is equitable, </w:t>
      </w:r>
      <w:proofErr w:type="gramStart"/>
      <w:r w:rsidRPr="0084177B">
        <w:t>i.e.</w:t>
      </w:r>
      <w:proofErr w:type="gramEnd"/>
      <w:r w:rsidRPr="0084177B">
        <w:t xml:space="preserve"> inclusive for anyone who might benefit from the research.</w:t>
      </w:r>
      <w:r w:rsidRPr="0084177B">
        <w:rPr>
          <w:vertAlign w:val="superscript"/>
        </w:rPr>
        <w:footnoteReference w:id="7"/>
      </w:r>
      <w:r w:rsidRPr="0084177B">
        <w:t xml:space="preserve"> Participants are not to be excluded for reasons of culture, language, religion, race, disability, sexual orientation, ethnic origin, gender, or age. Such exclusions would require sound scientific and ethical reasons.</w:t>
      </w:r>
      <w:r w:rsidRPr="0084177B">
        <w:rPr>
          <w:vertAlign w:val="superscript"/>
        </w:rPr>
        <w:footnoteReference w:id="8"/>
      </w:r>
      <w:r w:rsidRPr="0084177B">
        <w:t xml:space="preserve"> In making this assessment, the REB will take into account the purpose of the research and the research </w:t>
      </w:r>
      <w:proofErr w:type="gramStart"/>
      <w:r w:rsidRPr="0084177B">
        <w:t>setting;</w:t>
      </w:r>
      <w:proofErr w:type="gramEnd"/>
    </w:p>
    <w:p w14:paraId="1B920296" w14:textId="77777777" w:rsidR="00750C36" w:rsidRPr="0084177B" w:rsidRDefault="00750C36" w:rsidP="003118D5">
      <w:pPr>
        <w:pStyle w:val="Titre3"/>
        <w:widowControl/>
      </w:pPr>
      <w:r w:rsidRPr="0084177B">
        <w:t xml:space="preserve">There are sound scientific and ethical reasons for excluding classes of persons who might benefit from the </w:t>
      </w:r>
      <w:proofErr w:type="gramStart"/>
      <w:r w:rsidRPr="0084177B">
        <w:t>research;</w:t>
      </w:r>
      <w:proofErr w:type="gramEnd"/>
    </w:p>
    <w:p w14:paraId="4B79F17C" w14:textId="0057602A" w:rsidR="00750C36" w:rsidRPr="0084177B" w:rsidRDefault="00750C36" w:rsidP="003118D5">
      <w:pPr>
        <w:pStyle w:val="Titre3"/>
        <w:widowControl/>
      </w:pPr>
      <w:r w:rsidRPr="0084177B">
        <w:t xml:space="preserve">When some or </w:t>
      </w:r>
      <w:proofErr w:type="gramStart"/>
      <w:r w:rsidRPr="0084177B">
        <w:t>all of</w:t>
      </w:r>
      <w:proofErr w:type="gramEnd"/>
      <w:r w:rsidRPr="0084177B">
        <w:t xml:space="preserve"> the participants are likely to be vulnerable to coercion or undue influence, additional safeguards have been included in the research. Vulnerability may depend on participant status, role in the institution, or circumstances surrounding participation in the </w:t>
      </w:r>
      <w:proofErr w:type="gramStart"/>
      <w:r w:rsidRPr="0084177B">
        <w:t>study;</w:t>
      </w:r>
      <w:proofErr w:type="gramEnd"/>
    </w:p>
    <w:p w14:paraId="2031F658" w14:textId="77777777" w:rsidR="00750C36" w:rsidRPr="0084177B" w:rsidRDefault="00750C36" w:rsidP="003118D5">
      <w:pPr>
        <w:pStyle w:val="Titre3"/>
        <w:widowControl/>
      </w:pPr>
      <w:r w:rsidRPr="0084177B">
        <w:lastRenderedPageBreak/>
        <w:t>The amount paid to participants to cover losses and constraints and the method of payment to participants is appropriate to ensure that there is no coercion or undue influence.</w:t>
      </w:r>
      <w:r w:rsidRPr="0084177B">
        <w:rPr>
          <w:vertAlign w:val="superscript"/>
        </w:rPr>
        <w:footnoteReference w:id="9"/>
      </w:r>
      <w:r w:rsidRPr="0084177B">
        <w:t xml:space="preserve"> Information regarding payment to participants including method, amounts and schedule is provided to participants when applicable</w:t>
      </w:r>
      <w:r w:rsidRPr="0084177B">
        <w:rPr>
          <w:vertAlign w:val="superscript"/>
        </w:rPr>
        <w:footnoteReference w:id="10"/>
      </w:r>
      <w:r w:rsidRPr="0084177B">
        <w:rPr>
          <w:vertAlign w:val="superscript"/>
        </w:rPr>
        <w:t>;</w:t>
      </w:r>
    </w:p>
    <w:p w14:paraId="37C44EB5" w14:textId="3310CEC6" w:rsidR="00750C36" w:rsidRPr="0084177B" w:rsidRDefault="00750C36" w:rsidP="003118D5">
      <w:pPr>
        <w:pStyle w:val="Titre3"/>
        <w:widowControl/>
      </w:pPr>
      <w:r w:rsidRPr="0084177B">
        <w:t xml:space="preserve">The informed consent form and the informed consent process will be in accordance with applicable standards and relevant </w:t>
      </w:r>
      <w:proofErr w:type="gramStart"/>
      <w:r w:rsidRPr="0084177B">
        <w:t>SOPs</w:t>
      </w:r>
      <w:r w:rsidRPr="00702B98">
        <w:t>;</w:t>
      </w:r>
      <w:proofErr w:type="gramEnd"/>
    </w:p>
    <w:p w14:paraId="010C4D33" w14:textId="082880A5" w:rsidR="00750C36" w:rsidRPr="0084177B" w:rsidRDefault="00750C36" w:rsidP="003118D5">
      <w:pPr>
        <w:pStyle w:val="Titre3"/>
        <w:widowControl/>
      </w:pPr>
      <w:r w:rsidRPr="0084177B">
        <w:t>The informed consent process will be documented in appropriate manner, in accordance with regulations and relevant SOPs</w:t>
      </w:r>
      <w:r w:rsidRPr="0084177B">
        <w:rPr>
          <w:vertAlign w:val="superscript"/>
        </w:rPr>
        <w:footnoteReference w:id="11"/>
      </w:r>
      <w:r w:rsidR="00702B98">
        <w:t>;</w:t>
      </w:r>
    </w:p>
    <w:p w14:paraId="4FFA5007" w14:textId="77777777" w:rsidR="00750C36" w:rsidRPr="0084177B" w:rsidRDefault="00750C36" w:rsidP="003118D5">
      <w:pPr>
        <w:pStyle w:val="Titre3"/>
        <w:widowControl/>
      </w:pPr>
      <w:r w:rsidRPr="0084177B">
        <w:t xml:space="preserve">The REB requires that informed consent forms for clinical trials be drafted using the Standard Legal Clauses for Informed Consent Forms of the </w:t>
      </w:r>
      <w:proofErr w:type="spellStart"/>
      <w:r w:rsidRPr="0084177B">
        <w:rPr>
          <w:i/>
        </w:rPr>
        <w:t>Ministère</w:t>
      </w:r>
      <w:proofErr w:type="spellEnd"/>
      <w:r w:rsidRPr="0084177B">
        <w:rPr>
          <w:i/>
        </w:rPr>
        <w:t xml:space="preserve"> de la </w:t>
      </w:r>
      <w:proofErr w:type="spellStart"/>
      <w:r w:rsidRPr="0084177B">
        <w:rPr>
          <w:i/>
        </w:rPr>
        <w:t>Santé</w:t>
      </w:r>
      <w:proofErr w:type="spellEnd"/>
      <w:r w:rsidRPr="0084177B">
        <w:rPr>
          <w:i/>
        </w:rPr>
        <w:t xml:space="preserve"> et des Services </w:t>
      </w:r>
      <w:proofErr w:type="spellStart"/>
      <w:r w:rsidRPr="0084177B">
        <w:rPr>
          <w:i/>
        </w:rPr>
        <w:t>sociaux</w:t>
      </w:r>
      <w:proofErr w:type="spellEnd"/>
      <w:r w:rsidRPr="0084177B">
        <w:rPr>
          <w:i/>
        </w:rPr>
        <w:t xml:space="preserve"> du Québec</w:t>
      </w:r>
      <w:r w:rsidRPr="0084177B">
        <w:t xml:space="preserve"> (MSSS), available in both French and English. Any changes, deletions, or additions must be justified by exceptional </w:t>
      </w:r>
      <w:proofErr w:type="gramStart"/>
      <w:r w:rsidRPr="0084177B">
        <w:t>circumstances;</w:t>
      </w:r>
      <w:proofErr w:type="gramEnd"/>
    </w:p>
    <w:p w14:paraId="50DD06B8" w14:textId="77777777" w:rsidR="00750C36" w:rsidRPr="0084177B" w:rsidRDefault="00750C36" w:rsidP="003118D5">
      <w:pPr>
        <w:pStyle w:val="Titre3"/>
        <w:widowControl/>
      </w:pPr>
      <w:r w:rsidRPr="0084177B">
        <w:t>There will be provisions for ongoing data and safety monitoring procedures that are appropriate to the size, complexity, phase, and level of risk of the research, if any.</w:t>
      </w:r>
      <w:r w:rsidRPr="0084177B">
        <w:rPr>
          <w:vertAlign w:val="superscript"/>
        </w:rPr>
        <w:footnoteReference w:id="12"/>
      </w:r>
      <w:r w:rsidRPr="0084177B">
        <w:t xml:space="preserve"> The REB may recommend the use of a Data and Safety Monitoring Board (DSMB) to enhance participant </w:t>
      </w:r>
      <w:proofErr w:type="gramStart"/>
      <w:r w:rsidRPr="0084177B">
        <w:t>protection;</w:t>
      </w:r>
      <w:proofErr w:type="gramEnd"/>
    </w:p>
    <w:p w14:paraId="4A578E8B" w14:textId="78F52617" w:rsidR="00750C36" w:rsidRPr="0084177B" w:rsidRDefault="00750C36" w:rsidP="003118D5">
      <w:pPr>
        <w:pStyle w:val="Titre3"/>
        <w:widowControl/>
      </w:pPr>
      <w:r w:rsidRPr="0084177B">
        <w:t>There will be adequate provisions to protect the privacy of participants and to maintain the confidentiality of data</w:t>
      </w:r>
      <w:r w:rsidRPr="0084177B">
        <w:rPr>
          <w:vertAlign w:val="superscript"/>
        </w:rPr>
        <w:footnoteReference w:id="13"/>
      </w:r>
      <w:r w:rsidR="00702B98">
        <w:t>;</w:t>
      </w:r>
    </w:p>
    <w:p w14:paraId="1C045233" w14:textId="61DA5F26" w:rsidR="00750C36" w:rsidRPr="0084177B" w:rsidRDefault="00750C36" w:rsidP="003118D5">
      <w:pPr>
        <w:pStyle w:val="Titre3"/>
        <w:widowControl/>
      </w:pPr>
      <w:r w:rsidRPr="0084177B">
        <w:t>There will be adequate provisions for continued access to the study product or adequate replacement of the study product after the research is complete, as appropriate</w:t>
      </w:r>
      <w:r w:rsidRPr="0084177B">
        <w:rPr>
          <w:vertAlign w:val="superscript"/>
        </w:rPr>
        <w:footnoteReference w:id="14"/>
      </w:r>
      <w:r w:rsidR="00702B98">
        <w:t>;</w:t>
      </w:r>
    </w:p>
    <w:p w14:paraId="6CD230FD" w14:textId="5F36D7DD" w:rsidR="00750C36" w:rsidRPr="0084177B" w:rsidRDefault="00750C36" w:rsidP="003118D5">
      <w:pPr>
        <w:pStyle w:val="Titre3"/>
        <w:widowControl/>
      </w:pPr>
      <w:r w:rsidRPr="0084177B">
        <w:t>There will be adequate provisions for the timely publication and dissemination of all the research results, except where additional delays are deemed justifiable by the Contracts Office after consultation with the REB</w:t>
      </w:r>
      <w:r w:rsidRPr="0084177B">
        <w:rPr>
          <w:vertAlign w:val="superscript"/>
        </w:rPr>
        <w:footnoteReference w:id="15"/>
      </w:r>
      <w:r w:rsidR="00702B98">
        <w:t>;</w:t>
      </w:r>
    </w:p>
    <w:p w14:paraId="56AE382B" w14:textId="26D95F85" w:rsidR="00750C36" w:rsidRPr="0084177B" w:rsidRDefault="00750C36" w:rsidP="003118D5">
      <w:pPr>
        <w:pStyle w:val="Titre3"/>
        <w:widowControl/>
      </w:pPr>
      <w:r w:rsidRPr="0084177B">
        <w:lastRenderedPageBreak/>
        <w:t>If applicable, the research has been or will be registered via an internationally recognized clinical trial registry and a registration number has been/will be submitted to the REB.</w:t>
      </w:r>
      <w:r w:rsidRPr="0084177B">
        <w:rPr>
          <w:vertAlign w:val="superscript"/>
        </w:rPr>
        <w:footnoteReference w:id="16"/>
      </w:r>
      <w:r w:rsidRPr="0084177B">
        <w:t xml:space="preserve"> The researcher shall provide the REB with the registration number upon registration.</w:t>
      </w:r>
    </w:p>
    <w:p w14:paraId="74ADB6F0" w14:textId="77777777" w:rsidR="00750C36" w:rsidRPr="0084177B" w:rsidRDefault="00750C36" w:rsidP="003118D5">
      <w:pPr>
        <w:pStyle w:val="Titre2"/>
        <w:widowControl/>
      </w:pPr>
      <w:bookmarkStart w:id="7" w:name="_Toc151477303"/>
      <w:r w:rsidRPr="0084177B">
        <w:t>Additional Criteria</w:t>
      </w:r>
      <w:bookmarkEnd w:id="7"/>
    </w:p>
    <w:p w14:paraId="475015EA" w14:textId="77777777" w:rsidR="00750C36" w:rsidRPr="0084177B" w:rsidRDefault="00750C36" w:rsidP="003118D5">
      <w:pPr>
        <w:pStyle w:val="Titre3"/>
        <w:widowControl/>
      </w:pPr>
      <w:r w:rsidRPr="0084177B">
        <w:t>In cases where it is impossible, practically impossible, or impractical to obtain individual consent, the Québec Public Health Department (</w:t>
      </w:r>
      <w:r w:rsidRPr="0084177B">
        <w:rPr>
          <w:i/>
        </w:rPr>
        <w:t xml:space="preserve">Direction de la </w:t>
      </w:r>
      <w:proofErr w:type="spellStart"/>
      <w:r w:rsidRPr="0084177B">
        <w:rPr>
          <w:i/>
        </w:rPr>
        <w:t>santé</w:t>
      </w:r>
      <w:proofErr w:type="spellEnd"/>
      <w:r w:rsidRPr="0084177B">
        <w:rPr>
          <w:i/>
        </w:rPr>
        <w:t xml:space="preserve"> </w:t>
      </w:r>
      <w:proofErr w:type="spellStart"/>
      <w:r w:rsidRPr="0084177B">
        <w:rPr>
          <w:i/>
        </w:rPr>
        <w:t>publique</w:t>
      </w:r>
      <w:proofErr w:type="spellEnd"/>
      <w:r w:rsidRPr="0084177B">
        <w:rPr>
          <w:i/>
        </w:rPr>
        <w:t xml:space="preserve"> du Québec</w:t>
      </w:r>
      <w:r w:rsidRPr="0084177B">
        <w:t>)</w:t>
      </w:r>
      <w:r w:rsidRPr="0084177B">
        <w:rPr>
          <w:vertAlign w:val="superscript"/>
        </w:rPr>
        <w:footnoteReference w:id="17"/>
      </w:r>
      <w:r w:rsidRPr="0084177B">
        <w:t xml:space="preserve"> may grant access to medical chart data for research purposes. The REB must first approve the waiver of </w:t>
      </w:r>
      <w:proofErr w:type="gramStart"/>
      <w:r w:rsidRPr="0084177B">
        <w:t>consent;</w:t>
      </w:r>
      <w:proofErr w:type="gramEnd"/>
    </w:p>
    <w:p w14:paraId="66658E3E" w14:textId="77777777" w:rsidR="00750C36" w:rsidRPr="0084177B" w:rsidRDefault="00750C36" w:rsidP="003118D5">
      <w:pPr>
        <w:pStyle w:val="Titre3"/>
        <w:widowControl/>
      </w:pPr>
      <w:r w:rsidRPr="0084177B">
        <w:t>Additional criteria may apply depend on the type of research.</w:t>
      </w:r>
    </w:p>
    <w:p w14:paraId="610ED15D" w14:textId="77777777" w:rsidR="00750C36" w:rsidRPr="0084177B" w:rsidRDefault="00750C36" w:rsidP="003118D5">
      <w:pPr>
        <w:pStyle w:val="Titre2"/>
        <w:widowControl/>
      </w:pPr>
      <w:bookmarkStart w:id="8" w:name="_Toc151477304"/>
      <w:r w:rsidRPr="0084177B">
        <w:t>Length of Approval Period</w:t>
      </w:r>
      <w:bookmarkEnd w:id="8"/>
    </w:p>
    <w:p w14:paraId="1082CBC2" w14:textId="77777777" w:rsidR="00750C36" w:rsidRPr="0084177B" w:rsidRDefault="00750C36" w:rsidP="003118D5">
      <w:pPr>
        <w:pStyle w:val="Titre3"/>
        <w:widowControl/>
      </w:pPr>
      <w:r w:rsidRPr="0084177B">
        <w:t>The REB shall review research at periods appropriate to the degree of risk and at least annually.</w:t>
      </w:r>
      <w:r w:rsidRPr="0084177B">
        <w:rPr>
          <w:vertAlign w:val="superscript"/>
        </w:rPr>
        <w:footnoteReference w:id="18"/>
      </w:r>
    </w:p>
    <w:p w14:paraId="04CF8555" w14:textId="77777777" w:rsidR="00750C36" w:rsidRPr="0084177B" w:rsidRDefault="00EB3982" w:rsidP="003118D5">
      <w:pPr>
        <w:pStyle w:val="Titre1"/>
        <w:widowControl/>
      </w:pPr>
      <w:bookmarkStart w:id="9" w:name="_Toc151477305"/>
      <w:r w:rsidRPr="0084177B">
        <w:t>References</w:t>
      </w:r>
      <w:bookmarkEnd w:id="9"/>
    </w:p>
    <w:p w14:paraId="283AB5AB" w14:textId="77777777" w:rsidR="00750C36" w:rsidRPr="0084177B" w:rsidRDefault="00750C36" w:rsidP="003118D5">
      <w:r w:rsidRPr="0084177B">
        <w:t>See footnotes.</w:t>
      </w:r>
    </w:p>
    <w:p w14:paraId="6F5825E7" w14:textId="77777777" w:rsidR="00750C36" w:rsidRPr="0084177B" w:rsidRDefault="00EB3982" w:rsidP="003118D5">
      <w:pPr>
        <w:pStyle w:val="Titre1"/>
        <w:widowControl/>
      </w:pPr>
      <w:r w:rsidRPr="0084177B">
        <w:tab/>
      </w:r>
      <w:bookmarkStart w:id="10" w:name="_Toc11262222"/>
      <w:bookmarkStart w:id="11" w:name="_Toc151477306"/>
      <w:r w:rsidRPr="0084177B">
        <w:t>Revision History</w:t>
      </w:r>
      <w:bookmarkEnd w:id="10"/>
      <w:bookmarkEnd w:id="11"/>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0C36" w:rsidRPr="0084177B" w14:paraId="188F6EBD" w14:textId="77777777" w:rsidTr="009742E5">
        <w:tc>
          <w:tcPr>
            <w:tcW w:w="2297" w:type="dxa"/>
            <w:tcBorders>
              <w:right w:val="single" w:sz="4" w:space="0" w:color="auto"/>
            </w:tcBorders>
            <w:shd w:val="clear" w:color="auto" w:fill="auto"/>
            <w:vAlign w:val="center"/>
          </w:tcPr>
          <w:p w14:paraId="23B30562" w14:textId="77777777" w:rsidR="00750C36" w:rsidRPr="0084177B" w:rsidRDefault="00750C36" w:rsidP="003118D5">
            <w:pPr>
              <w:keepNext/>
              <w:spacing w:before="0" w:after="0"/>
              <w:jc w:val="center"/>
              <w:rPr>
                <w:rFonts w:eastAsia="Calibri"/>
                <w:b/>
              </w:rPr>
            </w:pPr>
            <w:r w:rsidRPr="0084177B">
              <w:rPr>
                <w:rFonts w:eastAsia="Calibri"/>
                <w:b/>
              </w:rPr>
              <w:t>SOP Code</w:t>
            </w:r>
          </w:p>
        </w:tc>
        <w:tc>
          <w:tcPr>
            <w:tcW w:w="1559" w:type="dxa"/>
            <w:tcBorders>
              <w:left w:val="single" w:sz="4" w:space="0" w:color="auto"/>
              <w:right w:val="single" w:sz="4" w:space="0" w:color="auto"/>
            </w:tcBorders>
            <w:shd w:val="clear" w:color="auto" w:fill="auto"/>
            <w:vAlign w:val="center"/>
          </w:tcPr>
          <w:p w14:paraId="25E23AD3" w14:textId="77777777" w:rsidR="00750C36" w:rsidRPr="0084177B" w:rsidRDefault="00750C36" w:rsidP="003118D5">
            <w:pPr>
              <w:keepNext/>
              <w:spacing w:before="0" w:after="0"/>
              <w:jc w:val="center"/>
              <w:rPr>
                <w:rFonts w:eastAsia="Calibri"/>
                <w:b/>
              </w:rPr>
            </w:pPr>
            <w:r w:rsidRPr="0084177B">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2F7694C" w14:textId="77777777" w:rsidR="00750C36" w:rsidRPr="0084177B" w:rsidRDefault="00750C36" w:rsidP="003118D5">
            <w:pPr>
              <w:keepNext/>
              <w:spacing w:before="0" w:after="0"/>
              <w:jc w:val="left"/>
              <w:rPr>
                <w:rFonts w:eastAsia="Calibri"/>
                <w:b/>
              </w:rPr>
            </w:pPr>
            <w:r w:rsidRPr="0084177B">
              <w:rPr>
                <w:rFonts w:eastAsia="Calibri"/>
                <w:b/>
              </w:rPr>
              <w:t>Summary of Changes</w:t>
            </w:r>
          </w:p>
        </w:tc>
      </w:tr>
      <w:tr w:rsidR="00750C36" w:rsidRPr="0084177B" w14:paraId="70363C4D" w14:textId="77777777" w:rsidTr="009742E5">
        <w:tc>
          <w:tcPr>
            <w:tcW w:w="2297" w:type="dxa"/>
            <w:tcBorders>
              <w:right w:val="single" w:sz="4" w:space="0" w:color="auto"/>
            </w:tcBorders>
            <w:shd w:val="clear" w:color="auto" w:fill="auto"/>
            <w:vAlign w:val="center"/>
          </w:tcPr>
          <w:p w14:paraId="51981250" w14:textId="77777777" w:rsidR="00750C36" w:rsidRPr="0084177B" w:rsidRDefault="00750C36" w:rsidP="003118D5">
            <w:pPr>
              <w:keepNext/>
              <w:spacing w:before="0" w:after="0"/>
              <w:jc w:val="left"/>
              <w:rPr>
                <w:rFonts w:eastAsia="Calibri" w:cs="Arial"/>
              </w:rPr>
            </w:pPr>
            <w:r w:rsidRPr="0084177B">
              <w:rPr>
                <w:rFonts w:eastAsia="Calibri"/>
              </w:rPr>
              <w:t>REB-SOP 40</w:t>
            </w:r>
            <w:r w:rsidR="00EB3982" w:rsidRPr="0084177B">
              <w:rPr>
                <w:rFonts w:eastAsia="Calibri"/>
              </w:rPr>
              <w:t>3</w:t>
            </w:r>
            <w:r w:rsidRPr="0084177B">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03761B" w14:textId="0DC329D1" w:rsidR="00750C36" w:rsidRPr="0084177B" w:rsidRDefault="00705977" w:rsidP="003118D5">
            <w:pPr>
              <w:keepNext/>
              <w:spacing w:before="0" w:after="0"/>
              <w:jc w:val="center"/>
              <w:rPr>
                <w:rFonts w:eastAsia="Calibri"/>
              </w:rPr>
            </w:pPr>
            <w:r w:rsidRPr="0084177B">
              <w:rPr>
                <w:rFonts w:eastAsia="Calibri"/>
              </w:rPr>
              <w:t>2020-01-31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9D6CAFD" w14:textId="77777777" w:rsidR="00750C36" w:rsidRPr="0084177B" w:rsidRDefault="00750C36" w:rsidP="003118D5">
            <w:pPr>
              <w:keepNext/>
              <w:spacing w:before="0" w:after="0"/>
              <w:jc w:val="left"/>
              <w:rPr>
                <w:rFonts w:eastAsia="Calibri"/>
              </w:rPr>
            </w:pPr>
            <w:r w:rsidRPr="0084177B">
              <w:rPr>
                <w:rFonts w:eastAsia="Calibri"/>
              </w:rPr>
              <w:t>Original version</w:t>
            </w:r>
          </w:p>
        </w:tc>
      </w:tr>
      <w:tr w:rsidR="00705977" w:rsidRPr="0084177B" w14:paraId="571FE45A" w14:textId="77777777" w:rsidTr="009742E5">
        <w:tc>
          <w:tcPr>
            <w:tcW w:w="2297" w:type="dxa"/>
            <w:tcBorders>
              <w:right w:val="single" w:sz="4" w:space="0" w:color="auto"/>
            </w:tcBorders>
            <w:shd w:val="clear" w:color="auto" w:fill="auto"/>
            <w:vAlign w:val="center"/>
          </w:tcPr>
          <w:p w14:paraId="6BB4417E" w14:textId="32151542" w:rsidR="00705977" w:rsidRPr="0084177B" w:rsidRDefault="00705977" w:rsidP="00705977">
            <w:pPr>
              <w:keepNext/>
              <w:spacing w:before="0" w:after="0"/>
              <w:jc w:val="left"/>
              <w:rPr>
                <w:rFonts w:eastAsia="Calibri"/>
              </w:rPr>
            </w:pPr>
            <w:r w:rsidRPr="0084177B">
              <w:rPr>
                <w:rFonts w:eastAsia="Calibri"/>
              </w:rPr>
              <w:t>REB-SOP 403.002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171C9" w14:textId="516A8359" w:rsidR="00705977" w:rsidRPr="0084177B" w:rsidRDefault="00705977" w:rsidP="00705977">
            <w:pPr>
              <w:keepNext/>
              <w:spacing w:before="0" w:after="0"/>
              <w:jc w:val="center"/>
              <w:rPr>
                <w:rFonts w:eastAsia="Calibri"/>
              </w:rPr>
            </w:pPr>
            <w:r w:rsidRPr="0084177B">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83F7BA" w14:textId="77777777" w:rsidR="00705977" w:rsidRPr="0084177B" w:rsidRDefault="00705977" w:rsidP="00705977">
            <w:pPr>
              <w:keepNext/>
              <w:spacing w:before="0" w:after="0"/>
              <w:jc w:val="left"/>
              <w:rPr>
                <w:rFonts w:eastAsia="Calibri"/>
              </w:rPr>
            </w:pPr>
            <w:r w:rsidRPr="0084177B">
              <w:rPr>
                <w:rFonts w:eastAsia="Calibri"/>
              </w:rPr>
              <w:t xml:space="preserve">Updated in line with regulations in </w:t>
            </w:r>
            <w:proofErr w:type="gramStart"/>
            <w:r w:rsidRPr="0084177B">
              <w:rPr>
                <w:rFonts w:eastAsia="Calibri"/>
              </w:rPr>
              <w:t>effect</w:t>
            </w:r>
            <w:proofErr w:type="gramEnd"/>
          </w:p>
          <w:p w14:paraId="52B72554" w14:textId="5EC094A8" w:rsidR="00705977" w:rsidRPr="0084177B" w:rsidRDefault="00705977" w:rsidP="00705977">
            <w:pPr>
              <w:keepNext/>
              <w:spacing w:before="0" w:after="0"/>
              <w:jc w:val="left"/>
              <w:rPr>
                <w:rFonts w:eastAsia="Calibri"/>
              </w:rPr>
            </w:pPr>
            <w:r w:rsidRPr="0084177B">
              <w:rPr>
                <w:rFonts w:eastAsia="Calibri"/>
              </w:rPr>
              <w:t>Updated references</w:t>
            </w:r>
          </w:p>
        </w:tc>
      </w:tr>
      <w:tr w:rsidR="00750C36" w:rsidRPr="0084177B" w14:paraId="7F0B6DB1" w14:textId="77777777" w:rsidTr="009742E5">
        <w:tc>
          <w:tcPr>
            <w:tcW w:w="2297" w:type="dxa"/>
            <w:tcBorders>
              <w:right w:val="single" w:sz="4" w:space="0" w:color="auto"/>
            </w:tcBorders>
            <w:shd w:val="clear" w:color="auto" w:fill="auto"/>
            <w:vAlign w:val="center"/>
          </w:tcPr>
          <w:p w14:paraId="7D882C8E" w14:textId="77777777" w:rsidR="00750C36" w:rsidRPr="0084177B" w:rsidRDefault="00750C36" w:rsidP="003118D5">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6C2237F2" w14:textId="77777777" w:rsidR="00750C36" w:rsidRPr="0084177B" w:rsidRDefault="00750C36" w:rsidP="003118D5">
            <w:pPr>
              <w:keepNext/>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7C9428F" w14:textId="77777777" w:rsidR="00750C36" w:rsidRPr="0084177B" w:rsidRDefault="00750C36" w:rsidP="003118D5">
            <w:pPr>
              <w:keepNext/>
              <w:spacing w:before="0" w:after="0"/>
              <w:jc w:val="left"/>
              <w:rPr>
                <w:rFonts w:eastAsia="Calibri"/>
              </w:rPr>
            </w:pPr>
          </w:p>
        </w:tc>
      </w:tr>
    </w:tbl>
    <w:p w14:paraId="747C2857" w14:textId="77777777" w:rsidR="00750C36" w:rsidRPr="0084177B" w:rsidRDefault="00EB3982" w:rsidP="003118D5">
      <w:pPr>
        <w:pStyle w:val="Titre1"/>
        <w:widowControl/>
      </w:pPr>
      <w:bookmarkStart w:id="12" w:name="_Toc11262223"/>
      <w:bookmarkStart w:id="13" w:name="_Toc151477307"/>
      <w:r w:rsidRPr="0084177B">
        <w:t>Appendix</w:t>
      </w:r>
      <w:bookmarkEnd w:id="12"/>
      <w:bookmarkEnd w:id="13"/>
    </w:p>
    <w:p w14:paraId="5A249A59" w14:textId="77777777" w:rsidR="00756C58" w:rsidRPr="0084177B" w:rsidRDefault="00756C58" w:rsidP="003118D5"/>
    <w:sectPr w:rsidR="00756C58" w:rsidRPr="0084177B"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7FC2" w14:textId="77777777" w:rsidR="00A46025" w:rsidRDefault="00A46025" w:rsidP="0030269A">
      <w:pPr>
        <w:spacing w:before="0" w:after="0"/>
      </w:pPr>
      <w:r>
        <w:separator/>
      </w:r>
    </w:p>
  </w:endnote>
  <w:endnote w:type="continuationSeparator" w:id="0">
    <w:p w14:paraId="052F3654" w14:textId="77777777" w:rsidR="00A46025" w:rsidRDefault="00A46025"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A38C" w14:textId="77777777" w:rsidR="002E18ED" w:rsidRPr="00627E38" w:rsidRDefault="002E18ED" w:rsidP="002E18ED">
    <w:pPr>
      <w:pStyle w:val="Pieddepage"/>
      <w:pBdr>
        <w:bottom w:val="single" w:sz="4" w:space="1" w:color="auto"/>
      </w:pBdr>
      <w:rPr>
        <w:sz w:val="20"/>
        <w:szCs w:val="20"/>
      </w:rPr>
    </w:pPr>
  </w:p>
  <w:p w14:paraId="78F21583" w14:textId="3FC3F985"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837A91">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9D9B" w14:textId="77777777" w:rsidR="00A46025" w:rsidRDefault="00A46025" w:rsidP="0030269A">
      <w:pPr>
        <w:spacing w:before="0" w:after="0"/>
      </w:pPr>
      <w:r>
        <w:separator/>
      </w:r>
    </w:p>
  </w:footnote>
  <w:footnote w:type="continuationSeparator" w:id="0">
    <w:p w14:paraId="56577524" w14:textId="77777777" w:rsidR="00A46025" w:rsidRDefault="00A46025" w:rsidP="0030269A">
      <w:pPr>
        <w:spacing w:before="0" w:after="0"/>
      </w:pPr>
      <w:r>
        <w:continuationSeparator/>
      </w:r>
    </w:p>
  </w:footnote>
  <w:footnote w:id="1">
    <w:p w14:paraId="31688251" w14:textId="6F07ED28" w:rsidR="00750C36" w:rsidRPr="00750C36" w:rsidRDefault="00750C36" w:rsidP="00750C36">
      <w:pPr>
        <w:pStyle w:val="Notedebasdepage"/>
        <w:jc w:val="left"/>
        <w:rPr>
          <w:lang w:val="fr-CA"/>
        </w:rPr>
      </w:pPr>
      <w:r w:rsidRPr="005D3AB3">
        <w:rPr>
          <w:rStyle w:val="Appelnotedebasdep"/>
          <w:rFonts w:cs="Calibri"/>
        </w:rPr>
        <w:footnoteRef/>
      </w:r>
      <w:r w:rsidRPr="00750C36">
        <w:rPr>
          <w:rFonts w:cs="Calibri"/>
          <w:lang w:val="fr-CA"/>
        </w:rPr>
        <w:tab/>
      </w:r>
      <w:r w:rsidR="00837A91" w:rsidRPr="00FA6300">
        <w:rPr>
          <w:iCs/>
          <w:lang w:val="fr-CA"/>
        </w:rPr>
        <w:t xml:space="preserve">See </w:t>
      </w:r>
      <w:r w:rsidR="0084177B">
        <w:rPr>
          <w:iCs/>
          <w:lang w:val="fr-CA"/>
        </w:rPr>
        <w:t>REB-</w:t>
      </w:r>
      <w:r w:rsidR="00837A91">
        <w:rPr>
          <w:rFonts w:cs="Calibri"/>
          <w:lang w:val="fr-CA"/>
        </w:rPr>
        <w:t>SOP 301-002</w:t>
      </w:r>
      <w:r w:rsidRPr="00750C36">
        <w:rPr>
          <w:rFonts w:cs="Calibri"/>
          <w:lang w:val="fr-CA"/>
        </w:rPr>
        <w:t>.</w:t>
      </w:r>
    </w:p>
  </w:footnote>
  <w:footnote w:id="2">
    <w:p w14:paraId="115C3638" w14:textId="331D8991" w:rsidR="00750C36" w:rsidRPr="00750C36" w:rsidRDefault="00750C36" w:rsidP="00750C36">
      <w:pPr>
        <w:pStyle w:val="Notedebasdepage"/>
        <w:jc w:val="left"/>
        <w:rPr>
          <w:lang w:val="fr-CA"/>
        </w:rPr>
      </w:pPr>
      <w:r w:rsidRPr="009221B9">
        <w:rPr>
          <w:rStyle w:val="Appelnotedebasdep"/>
          <w:rFonts w:cs="Calibri"/>
        </w:rPr>
        <w:footnoteRef/>
      </w:r>
      <w:r w:rsidRPr="00750C36">
        <w:rPr>
          <w:rFonts w:cs="Calibri"/>
          <w:lang w:val="fr-CA"/>
        </w:rPr>
        <w:tab/>
      </w:r>
      <w:r w:rsidR="00837A91" w:rsidRPr="00FA6300">
        <w:t>Guidance Document:</w:t>
      </w:r>
      <w:r w:rsidRPr="00FA6300">
        <w:t xml:space="preserve"> Good Clinical Practice</w:t>
      </w:r>
      <w:r w:rsidR="00837A91" w:rsidRPr="00FA6300">
        <w:t>: Integrated Add</w:t>
      </w:r>
      <w:r w:rsidR="00837A91">
        <w:t>endum to</w:t>
      </w:r>
      <w:r w:rsidRPr="00FA6300">
        <w:t xml:space="preserve"> E6(R1)</w:t>
      </w:r>
      <w:r w:rsidR="00837A91">
        <w:t xml:space="preserve"> ICH Topic E6(R2)</w:t>
      </w:r>
      <w:r w:rsidRPr="00FA6300">
        <w:t xml:space="preserve">, Health Canada, </w:t>
      </w:r>
      <w:r w:rsidR="00837A91">
        <w:t>April 2019</w:t>
      </w:r>
      <w:r w:rsidRPr="00FA6300">
        <w:t>, hereafter “ICH GCP”</w:t>
      </w:r>
      <w:r w:rsidRPr="00FA6300">
        <w:rPr>
          <w:rFonts w:cs="Calibri"/>
        </w:rPr>
        <w:t>, s. </w:t>
      </w:r>
      <w:r w:rsidR="00837A91">
        <w:rPr>
          <w:rFonts w:cs="Calibri"/>
        </w:rPr>
        <w:t>3.3.5</w:t>
      </w:r>
      <w:r w:rsidRPr="00FA6300">
        <w:rPr>
          <w:rFonts w:cs="Calibri"/>
        </w:rPr>
        <w:t xml:space="preserve">; </w:t>
      </w:r>
      <w:r w:rsidRPr="00FA6300">
        <w:t>Operational Guidelines for Ethics Committees that Review Biomedical Research, World Health Organization (WHO), 2000, hereafter “TDR”</w:t>
      </w:r>
      <w:r w:rsidRPr="00FA6300">
        <w:rPr>
          <w:rFonts w:cs="Calibri"/>
        </w:rPr>
        <w:t>, s. 5.1, 5.3.7</w:t>
      </w:r>
      <w:r w:rsidR="000B686C">
        <w:rPr>
          <w:rFonts w:cs="Calibri"/>
        </w:rPr>
        <w:t xml:space="preserve"> and</w:t>
      </w:r>
      <w:r w:rsidRPr="00FA6300">
        <w:rPr>
          <w:rFonts w:cs="Calibri"/>
        </w:rPr>
        <w:t xml:space="preserve"> 6.2.3.1;</w:t>
      </w:r>
      <w:r w:rsidRPr="00750C36">
        <w:rPr>
          <w:rFonts w:cs="Calibri"/>
          <w:lang w:val="fr-CA"/>
        </w:rPr>
        <w:t xml:space="preserve"> </w:t>
      </w:r>
      <w:r w:rsidRPr="00750C36">
        <w:rPr>
          <w:i/>
          <w:lang w:val="fr-CA"/>
        </w:rPr>
        <w:t>Avis sur les conditions d’exercice des comités d’éthique de la recherche désignés ou institués par le ministre de la Santé et des Services sociaux en vertu de l’article 21 du Code civil, Gazette officielle du Québec</w:t>
      </w:r>
      <w:r w:rsidRPr="00750C36">
        <w:rPr>
          <w:lang w:val="fr-CA"/>
        </w:rPr>
        <w:t>, Part I, vol. 35, 1998, hereafter “</w:t>
      </w:r>
      <w:r w:rsidRPr="00750C36">
        <w:rPr>
          <w:i/>
          <w:lang w:val="fr-CA"/>
        </w:rPr>
        <w:t>Avis</w:t>
      </w:r>
      <w:r w:rsidRPr="00750C36">
        <w:rPr>
          <w:lang w:val="fr-CA"/>
        </w:rPr>
        <w:t>”</w:t>
      </w:r>
      <w:r w:rsidRPr="00750C36">
        <w:rPr>
          <w:rFonts w:cs="Calibri"/>
          <w:lang w:val="fr-CA"/>
        </w:rPr>
        <w:t>, p. 1039.</w:t>
      </w:r>
    </w:p>
  </w:footnote>
  <w:footnote w:id="3">
    <w:p w14:paraId="1998BF30" w14:textId="5D480D62" w:rsidR="00750C36" w:rsidRPr="0056390A" w:rsidRDefault="00750C36" w:rsidP="00750C36">
      <w:pPr>
        <w:pStyle w:val="Notedebasdepage"/>
        <w:jc w:val="left"/>
      </w:pPr>
      <w:r w:rsidRPr="009221B9">
        <w:rPr>
          <w:rStyle w:val="Appelnotedebasdep"/>
          <w:rFonts w:cs="Calibri"/>
        </w:rPr>
        <w:footnoteRef/>
      </w:r>
      <w:r w:rsidRPr="0056390A">
        <w:rPr>
          <w:rFonts w:cs="Calibri"/>
        </w:rPr>
        <w:tab/>
      </w:r>
      <w:r w:rsidRPr="0056390A">
        <w:t>Canadian Institutes of Health Research, Natural Sciences and Engineering Research Council of Canada, and Social Sciences and</w:t>
      </w:r>
      <w:r w:rsidRPr="0056390A">
        <w:t xml:space="preserve"> Humanities Research Council of Canada, Tri-Council Policy Statement: Ethical Conduct for Research Involving Humans, </w:t>
      </w:r>
      <w:r w:rsidR="001B185D">
        <w:t>December</w:t>
      </w:r>
      <w:r w:rsidR="00837A91">
        <w:t xml:space="preserve"> 2018</w:t>
      </w:r>
      <w:r w:rsidRPr="0056390A">
        <w:t xml:space="preserve"> </w:t>
      </w:r>
      <w:r w:rsidR="00837A91">
        <w:t>hereafter “</w:t>
      </w:r>
      <w:r w:rsidRPr="0056390A">
        <w:t>TCPS2</w:t>
      </w:r>
      <w:r w:rsidR="00837A91">
        <w:t>”</w:t>
      </w:r>
      <w:r w:rsidRPr="0056390A">
        <w:rPr>
          <w:rFonts w:cs="Calibri"/>
        </w:rPr>
        <w:t>, art.</w:t>
      </w:r>
      <w:r>
        <w:rPr>
          <w:rFonts w:cs="Calibri"/>
        </w:rPr>
        <w:t xml:space="preserve"> </w:t>
      </w:r>
      <w:r w:rsidR="00837A91">
        <w:rPr>
          <w:rFonts w:cs="Calibri"/>
        </w:rPr>
        <w:t xml:space="preserve">7.2, 7.3 and </w:t>
      </w:r>
      <w:r w:rsidRPr="0056390A">
        <w:rPr>
          <w:rFonts w:cs="Calibri"/>
        </w:rPr>
        <w:t xml:space="preserve">7.4 and </w:t>
      </w:r>
      <w:r w:rsidR="00837A91">
        <w:rPr>
          <w:rFonts w:cs="Calibri"/>
        </w:rPr>
        <w:t>application wording</w:t>
      </w:r>
      <w:r w:rsidRPr="0056390A">
        <w:rPr>
          <w:rFonts w:cs="Calibri"/>
        </w:rPr>
        <w:t xml:space="preserve">. </w:t>
      </w:r>
      <w:r w:rsidRPr="0056390A">
        <w:rPr>
          <w:rFonts w:cs="Calibri"/>
          <w:lang w:val="en-US"/>
        </w:rPr>
        <w:t>See also</w:t>
      </w:r>
      <w:r w:rsidRPr="0056390A">
        <w:rPr>
          <w:rFonts w:cs="Calibri"/>
        </w:rPr>
        <w:t xml:space="preserve"> </w:t>
      </w:r>
      <w:r w:rsidR="0084177B">
        <w:rPr>
          <w:rFonts w:cs="Calibri"/>
        </w:rPr>
        <w:t>REB-</w:t>
      </w:r>
      <w:r w:rsidRPr="0056390A">
        <w:rPr>
          <w:rFonts w:cs="Calibri"/>
        </w:rPr>
        <w:t xml:space="preserve">SOP </w:t>
      </w:r>
      <w:r w:rsidR="00837A91">
        <w:rPr>
          <w:rFonts w:cs="Calibri"/>
        </w:rPr>
        <w:t>105A-002, 105B-002 and 105C-002</w:t>
      </w:r>
      <w:r w:rsidRPr="0056390A">
        <w:rPr>
          <w:rFonts w:cs="Calibri"/>
        </w:rPr>
        <w:t xml:space="preserve">. </w:t>
      </w:r>
    </w:p>
  </w:footnote>
  <w:footnote w:id="4">
    <w:p w14:paraId="13EB5ACC" w14:textId="30364404" w:rsidR="00750C36" w:rsidRPr="0056390A" w:rsidRDefault="00750C36" w:rsidP="00750C36">
      <w:pPr>
        <w:pStyle w:val="Notedebasdepage"/>
        <w:jc w:val="left"/>
      </w:pPr>
      <w:r w:rsidRPr="009221B9">
        <w:rPr>
          <w:rStyle w:val="Appelnotedebasdep"/>
          <w:rFonts w:cs="Calibri"/>
        </w:rPr>
        <w:footnoteRef/>
      </w:r>
      <w:r w:rsidRPr="0056390A">
        <w:rPr>
          <w:rFonts w:cs="Calibri"/>
          <w:vertAlign w:val="superscript"/>
        </w:rPr>
        <w:t xml:space="preserve"> </w:t>
      </w:r>
      <w:r w:rsidRPr="0056390A">
        <w:rPr>
          <w:rFonts w:cs="Calibri"/>
        </w:rPr>
        <w:tab/>
      </w:r>
      <w:r w:rsidR="00837A91" w:rsidRPr="00FA6300">
        <w:rPr>
          <w:rFonts w:cs="Calibri"/>
          <w:iCs/>
        </w:rPr>
        <w:t>TCPS2</w:t>
      </w:r>
      <w:r w:rsidR="00267F58">
        <w:rPr>
          <w:rFonts w:cs="Calibri"/>
        </w:rPr>
        <w:t xml:space="preserve">, application under art. 2.8; </w:t>
      </w:r>
      <w:r w:rsidR="000B686C" w:rsidRPr="000B3A5E">
        <w:rPr>
          <w:rStyle w:val="normaltextrun"/>
          <w:rFonts w:ascii="Calibri" w:hAnsi="Calibri" w:cs="Calibri"/>
          <w:i/>
          <w:iCs/>
          <w:shd w:val="clear" w:color="auto" w:fill="FFFFFF"/>
        </w:rPr>
        <w:t>Avis</w:t>
      </w:r>
      <w:r w:rsidR="000B686C">
        <w:rPr>
          <w:rStyle w:val="normaltextrun"/>
          <w:rFonts w:ascii="Calibri" w:hAnsi="Calibri" w:cs="Calibri"/>
          <w:shd w:val="clear" w:color="auto" w:fill="FFFFFF"/>
        </w:rPr>
        <w:t xml:space="preserve">, </w:t>
      </w:r>
      <w:r w:rsidR="00267F58" w:rsidRPr="00765482">
        <w:rPr>
          <w:rStyle w:val="normaltextrun"/>
          <w:rFonts w:ascii="Calibri" w:hAnsi="Calibri" w:cs="Calibri"/>
          <w:shd w:val="clear" w:color="auto" w:fill="FFFFFF"/>
        </w:rPr>
        <w:t>p. 1039</w:t>
      </w:r>
      <w:r w:rsidRPr="0056390A">
        <w:rPr>
          <w:rFonts w:cs="Calibri"/>
        </w:rPr>
        <w:t>.</w:t>
      </w:r>
    </w:p>
  </w:footnote>
  <w:footnote w:id="5">
    <w:p w14:paraId="47070D17" w14:textId="2179BA77" w:rsidR="00750C36" w:rsidRPr="0056390A" w:rsidRDefault="00750C36" w:rsidP="00750C36">
      <w:pPr>
        <w:pStyle w:val="Notedebasdepage"/>
        <w:jc w:val="left"/>
      </w:pPr>
      <w:r w:rsidRPr="005D3AB3">
        <w:rPr>
          <w:rStyle w:val="Appelnotedebasdep"/>
          <w:rFonts w:cs="Calibri"/>
        </w:rPr>
        <w:footnoteRef/>
      </w:r>
      <w:r w:rsidRPr="0056390A">
        <w:rPr>
          <w:rFonts w:cs="Calibri"/>
        </w:rPr>
        <w:t xml:space="preserve"> </w:t>
      </w:r>
      <w:r w:rsidRPr="0056390A">
        <w:rPr>
          <w:rFonts w:cs="Calibri"/>
        </w:rPr>
        <w:tab/>
      </w:r>
      <w:r w:rsidR="00267F58" w:rsidRPr="005F758D">
        <w:t>TDR</w:t>
      </w:r>
      <w:r w:rsidR="00267F58" w:rsidRPr="005F758D">
        <w:rPr>
          <w:rFonts w:cs="Calibri"/>
        </w:rPr>
        <w:t>, s. </w:t>
      </w:r>
      <w:r w:rsidR="00267F58">
        <w:rPr>
          <w:rFonts w:cs="Calibri"/>
        </w:rPr>
        <w:t xml:space="preserve">6.2; </w:t>
      </w:r>
      <w:bookmarkStart w:id="6" w:name="_Hlk151477163"/>
      <w:r w:rsidR="0084177B" w:rsidRPr="00FA598F">
        <w:rPr>
          <w:rFonts w:ascii="Calibri" w:hAnsi="Calibri" w:cs="Calibri"/>
          <w:i/>
        </w:rPr>
        <w:t xml:space="preserve">Cadre de référence ministériel pour la recherche avec des participants humains, Gouvernement du Québec, Ministère de la Santé et des Services </w:t>
      </w:r>
      <w:proofErr w:type="spellStart"/>
      <w:r w:rsidR="0084177B" w:rsidRPr="00FA598F">
        <w:rPr>
          <w:rFonts w:ascii="Calibri" w:hAnsi="Calibri" w:cs="Calibri"/>
          <w:i/>
        </w:rPr>
        <w:t>sociaux</w:t>
      </w:r>
      <w:proofErr w:type="spellEnd"/>
      <w:r w:rsidR="0084177B" w:rsidRPr="00FA598F">
        <w:rPr>
          <w:rFonts w:ascii="Calibri" w:hAnsi="Calibri" w:cs="Calibri"/>
        </w:rPr>
        <w:t xml:space="preserve">, </w:t>
      </w:r>
      <w:bookmarkEnd w:id="6"/>
      <w:r w:rsidR="0084177B" w:rsidRPr="00FA598F">
        <w:rPr>
          <w:rFonts w:ascii="Calibri" w:hAnsi="Calibri" w:cs="Calibri"/>
        </w:rPr>
        <w:t>October 2020</w:t>
      </w:r>
      <w:r w:rsidR="00267F58">
        <w:rPr>
          <w:rFonts w:cs="Calibri"/>
        </w:rPr>
        <w:t>, art. 2.2.1</w:t>
      </w:r>
      <w:r w:rsidRPr="0056390A">
        <w:rPr>
          <w:rFonts w:cs="Calibri"/>
        </w:rPr>
        <w:t>.</w:t>
      </w:r>
    </w:p>
  </w:footnote>
  <w:footnote w:id="6">
    <w:p w14:paraId="748E020B" w14:textId="4385C4EA" w:rsidR="00750C36" w:rsidRPr="0056390A" w:rsidRDefault="00750C36" w:rsidP="00750C36">
      <w:pPr>
        <w:pStyle w:val="Notedebasdepage"/>
        <w:jc w:val="left"/>
      </w:pPr>
      <w:r w:rsidRPr="005D3AB3">
        <w:rPr>
          <w:rStyle w:val="Appelnotedebasdep"/>
          <w:rFonts w:cs="Calibri"/>
        </w:rPr>
        <w:footnoteRef/>
      </w:r>
      <w:r w:rsidRPr="0056390A">
        <w:rPr>
          <w:rFonts w:cs="Calibri"/>
          <w:vertAlign w:val="superscript"/>
        </w:rPr>
        <w:t xml:space="preserve"> </w:t>
      </w:r>
      <w:r w:rsidRPr="0056390A">
        <w:rPr>
          <w:rFonts w:cs="Calibri"/>
        </w:rPr>
        <w:tab/>
        <w:t>Civil Code of Québec, art. 20 and 21; TCPS2, p. 20-23</w:t>
      </w:r>
      <w:r>
        <w:rPr>
          <w:rFonts w:cs="Calibri"/>
        </w:rPr>
        <w:t>,</w:t>
      </w:r>
      <w:r w:rsidRPr="0056390A">
        <w:rPr>
          <w:rFonts w:cs="Calibri"/>
        </w:rPr>
        <w:t xml:space="preserve"> art. 2.9</w:t>
      </w:r>
      <w:r w:rsidR="000B686C">
        <w:rPr>
          <w:rFonts w:cs="Calibri"/>
        </w:rPr>
        <w:t xml:space="preserve"> and</w:t>
      </w:r>
      <w:r w:rsidRPr="0056390A">
        <w:rPr>
          <w:rFonts w:cs="Calibri"/>
        </w:rPr>
        <w:t xml:space="preserve"> 11.4</w:t>
      </w:r>
      <w:r>
        <w:rPr>
          <w:rFonts w:cs="Calibri"/>
        </w:rPr>
        <w:t xml:space="preserve"> (</w:t>
      </w:r>
      <w:r w:rsidRPr="0056390A">
        <w:rPr>
          <w:rFonts w:cs="Calibri"/>
        </w:rPr>
        <w:t>a); TDR, s. 6.2.1.2</w:t>
      </w:r>
      <w:r>
        <w:rPr>
          <w:rFonts w:cs="Calibri"/>
        </w:rPr>
        <w:t>;</w:t>
      </w:r>
      <w:r w:rsidRPr="0056390A">
        <w:rPr>
          <w:rFonts w:cs="Calibri"/>
        </w:rPr>
        <w:t xml:space="preserve"> </w:t>
      </w:r>
      <w:r w:rsidRPr="0056390A">
        <w:rPr>
          <w:rFonts w:cs="Calibri"/>
          <w:i/>
        </w:rPr>
        <w:t>Avis</w:t>
      </w:r>
      <w:r w:rsidRPr="0056390A">
        <w:rPr>
          <w:rFonts w:cs="Calibri"/>
        </w:rPr>
        <w:t>, p. 1039.</w:t>
      </w:r>
    </w:p>
  </w:footnote>
  <w:footnote w:id="7">
    <w:p w14:paraId="06F16645" w14:textId="6073F928" w:rsidR="00750C36" w:rsidRPr="0056390A" w:rsidRDefault="00750C36" w:rsidP="00750C36">
      <w:pPr>
        <w:pStyle w:val="Notedebasdepage"/>
        <w:jc w:val="left"/>
      </w:pPr>
      <w:r w:rsidRPr="005D3AB3">
        <w:rPr>
          <w:rStyle w:val="Appelnotedebasdep"/>
          <w:rFonts w:cs="Calibri"/>
        </w:rPr>
        <w:footnoteRef/>
      </w:r>
      <w:r w:rsidRPr="0056390A">
        <w:rPr>
          <w:rFonts w:cs="Calibri"/>
          <w:vertAlign w:val="superscript"/>
        </w:rPr>
        <w:t xml:space="preserve"> </w:t>
      </w:r>
      <w:r w:rsidRPr="0056390A">
        <w:rPr>
          <w:rFonts w:cs="Calibri"/>
        </w:rPr>
        <w:tab/>
      </w:r>
      <w:r w:rsidRPr="009221B9">
        <w:rPr>
          <w:rFonts w:cs="Calibri"/>
        </w:rPr>
        <w:t>TCPS2</w:t>
      </w:r>
      <w:r w:rsidRPr="0056390A">
        <w:rPr>
          <w:rFonts w:cs="Calibri"/>
        </w:rPr>
        <w:t>, art.</w:t>
      </w:r>
      <w:r>
        <w:rPr>
          <w:rFonts w:cs="Calibri"/>
        </w:rPr>
        <w:t xml:space="preserve"> </w:t>
      </w:r>
      <w:r w:rsidRPr="0056390A">
        <w:rPr>
          <w:rFonts w:cs="Calibri"/>
        </w:rPr>
        <w:t xml:space="preserve">4.1; </w:t>
      </w:r>
      <w:r w:rsidRPr="009221B9">
        <w:rPr>
          <w:rFonts w:cs="Calibri"/>
        </w:rPr>
        <w:t>TDR</w:t>
      </w:r>
      <w:r w:rsidRPr="0056390A">
        <w:rPr>
          <w:rFonts w:cs="Calibri"/>
        </w:rPr>
        <w:t xml:space="preserve">, s. 2 and 6.2.2.4; </w:t>
      </w:r>
      <w:r w:rsidRPr="0056390A">
        <w:rPr>
          <w:rFonts w:cs="Calibri"/>
          <w:i/>
        </w:rPr>
        <w:t>Avis</w:t>
      </w:r>
      <w:r w:rsidRPr="0056390A">
        <w:rPr>
          <w:rFonts w:cs="Calibri"/>
        </w:rPr>
        <w:t>, p. 1039.</w:t>
      </w:r>
    </w:p>
  </w:footnote>
  <w:footnote w:id="8">
    <w:p w14:paraId="75ED2BB9" w14:textId="77777777" w:rsidR="00750C36" w:rsidRPr="0056390A" w:rsidRDefault="00750C36" w:rsidP="00750C36">
      <w:pPr>
        <w:pStyle w:val="Notedebasdepage"/>
        <w:jc w:val="left"/>
      </w:pPr>
      <w:r w:rsidRPr="005D3AB3">
        <w:rPr>
          <w:rStyle w:val="Appelnotedebasdep"/>
          <w:rFonts w:cs="Calibri"/>
        </w:rPr>
        <w:footnoteRef/>
      </w:r>
      <w:r w:rsidRPr="0056390A">
        <w:rPr>
          <w:rFonts w:cs="Calibri"/>
          <w:vertAlign w:val="superscript"/>
        </w:rPr>
        <w:t xml:space="preserve"> </w:t>
      </w:r>
      <w:r w:rsidRPr="0056390A">
        <w:rPr>
          <w:rFonts w:cs="Calibri"/>
        </w:rPr>
        <w:tab/>
      </w:r>
      <w:r w:rsidRPr="009221B9">
        <w:rPr>
          <w:rFonts w:cs="Calibri"/>
        </w:rPr>
        <w:t>TCPS2</w:t>
      </w:r>
      <w:r w:rsidRPr="0056390A">
        <w:rPr>
          <w:rFonts w:cs="Calibri"/>
        </w:rPr>
        <w:t>, art.</w:t>
      </w:r>
      <w:r>
        <w:rPr>
          <w:rFonts w:cs="Calibri"/>
        </w:rPr>
        <w:t xml:space="preserve"> </w:t>
      </w:r>
      <w:r w:rsidRPr="0056390A">
        <w:rPr>
          <w:rFonts w:cs="Calibri"/>
        </w:rPr>
        <w:t>4.1.</w:t>
      </w:r>
    </w:p>
  </w:footnote>
  <w:footnote w:id="9">
    <w:p w14:paraId="0E374A25" w14:textId="230ECDF2" w:rsidR="00750C36" w:rsidRPr="00FA6300" w:rsidRDefault="00750C36" w:rsidP="00FA6300">
      <w:pPr>
        <w:pStyle w:val="Notedebasdepage"/>
        <w:jc w:val="left"/>
        <w:rPr>
          <w:rFonts w:cs="Calibri"/>
        </w:rPr>
      </w:pPr>
      <w:r w:rsidRPr="005D3AB3">
        <w:rPr>
          <w:rStyle w:val="Appelnotedebasdep"/>
          <w:rFonts w:cs="Calibri"/>
        </w:rPr>
        <w:footnoteRef/>
      </w:r>
      <w:r w:rsidRPr="0056390A">
        <w:rPr>
          <w:rFonts w:cs="Calibri"/>
          <w:vertAlign w:val="superscript"/>
        </w:rPr>
        <w:t xml:space="preserve"> </w:t>
      </w:r>
      <w:r w:rsidRPr="0056390A">
        <w:rPr>
          <w:rFonts w:cs="Calibri"/>
        </w:rPr>
        <w:tab/>
      </w:r>
      <w:r>
        <w:rPr>
          <w:rFonts w:cs="Calibri"/>
        </w:rPr>
        <w:t>“</w:t>
      </w:r>
      <w:r w:rsidRPr="003A5327">
        <w:rPr>
          <w:rFonts w:cs="Calibri"/>
        </w:rPr>
        <w:t>A person’s participation in research that could interfere with the integrity of his person may not give rise to</w:t>
      </w:r>
      <w:r w:rsidR="00FA6300">
        <w:rPr>
          <w:rFonts w:cs="Calibri"/>
        </w:rPr>
        <w:t xml:space="preserve"> </w:t>
      </w:r>
      <w:r w:rsidRPr="003A5327">
        <w:rPr>
          <w:rFonts w:cs="Calibri"/>
        </w:rPr>
        <w:t>any financial reward other than the payment of an indemnity as compensation for the loss and inconvenience</w:t>
      </w:r>
      <w:r w:rsidR="00FA6300">
        <w:rPr>
          <w:rFonts w:cs="Calibri"/>
        </w:rPr>
        <w:t xml:space="preserve"> </w:t>
      </w:r>
      <w:r w:rsidRPr="003A5327">
        <w:rPr>
          <w:rFonts w:cs="Calibri"/>
        </w:rPr>
        <w:t>suffered.”</w:t>
      </w:r>
      <w:r w:rsidR="00FA6300">
        <w:rPr>
          <w:rFonts w:cs="Calibri"/>
        </w:rPr>
        <w:t xml:space="preserve"> </w:t>
      </w:r>
      <w:r w:rsidRPr="0056390A">
        <w:rPr>
          <w:rFonts w:cs="Calibri"/>
        </w:rPr>
        <w:t>(Civil Code of Québec</w:t>
      </w:r>
      <w:r w:rsidRPr="0056390A">
        <w:t xml:space="preserve"> (CCQ), c. CCQ-1991</w:t>
      </w:r>
      <w:r w:rsidRPr="0056390A">
        <w:rPr>
          <w:rFonts w:cs="Calibri"/>
        </w:rPr>
        <w:t xml:space="preserve">, art. 25, para. </w:t>
      </w:r>
      <w:r w:rsidRPr="003A5327">
        <w:rPr>
          <w:rFonts w:cs="Calibri"/>
        </w:rPr>
        <w:t xml:space="preserve">2). </w:t>
      </w:r>
      <w:r w:rsidRPr="0056390A">
        <w:rPr>
          <w:rFonts w:cs="Calibri"/>
        </w:rPr>
        <w:t xml:space="preserve">See also: TCPS2, </w:t>
      </w:r>
      <w:r w:rsidR="00267F58">
        <w:rPr>
          <w:rFonts w:cs="Calibri"/>
        </w:rPr>
        <w:t xml:space="preserve">application under art. 3.1; </w:t>
      </w:r>
      <w:r w:rsidR="00267F58" w:rsidRPr="005F758D">
        <w:t>ICH GCP</w:t>
      </w:r>
      <w:r w:rsidR="00267F58" w:rsidRPr="005F758D">
        <w:rPr>
          <w:rFonts w:cs="Calibri"/>
        </w:rPr>
        <w:t xml:space="preserve">, </w:t>
      </w:r>
      <w:r w:rsidRPr="0056390A">
        <w:rPr>
          <w:rFonts w:cs="Calibri"/>
        </w:rPr>
        <w:t>s. 3.1.8; TDR, 5.3.12, 5.3.13</w:t>
      </w:r>
      <w:r w:rsidR="000B686C">
        <w:rPr>
          <w:rFonts w:cs="Calibri"/>
        </w:rPr>
        <w:t xml:space="preserve"> and</w:t>
      </w:r>
      <w:r w:rsidRPr="0056390A">
        <w:rPr>
          <w:rFonts w:cs="Calibri"/>
        </w:rPr>
        <w:t xml:space="preserve"> 6.2.3.10.</w:t>
      </w:r>
    </w:p>
  </w:footnote>
  <w:footnote w:id="10">
    <w:p w14:paraId="7A243418" w14:textId="77777777" w:rsidR="00750C36" w:rsidRPr="0056390A" w:rsidRDefault="00750C36" w:rsidP="00750C36">
      <w:pPr>
        <w:pStyle w:val="Notedebasdepage"/>
        <w:jc w:val="left"/>
      </w:pPr>
      <w:r w:rsidRPr="005D3AB3">
        <w:rPr>
          <w:rStyle w:val="Appelnotedebasdep"/>
          <w:rFonts w:cs="Calibri"/>
        </w:rPr>
        <w:footnoteRef/>
      </w:r>
      <w:r w:rsidRPr="0056390A">
        <w:rPr>
          <w:rFonts w:cs="Calibri"/>
          <w:vertAlign w:val="superscript"/>
          <w:lang w:val="en-US"/>
        </w:rPr>
        <w:t xml:space="preserve"> </w:t>
      </w:r>
      <w:r w:rsidRPr="0056390A">
        <w:rPr>
          <w:rFonts w:cs="Calibri"/>
          <w:lang w:val="en-US"/>
        </w:rPr>
        <w:tab/>
      </w:r>
      <w:r w:rsidRPr="0056390A">
        <w:rPr>
          <w:rFonts w:cs="Calibri"/>
        </w:rPr>
        <w:t>ICH GCP, s. 3.1.9.</w:t>
      </w:r>
    </w:p>
  </w:footnote>
  <w:footnote w:id="11">
    <w:p w14:paraId="553EC88B" w14:textId="77777777" w:rsidR="00750C36" w:rsidRPr="0056390A" w:rsidRDefault="00750C36" w:rsidP="00750C36">
      <w:pPr>
        <w:pStyle w:val="Notedebasdepage"/>
        <w:jc w:val="left"/>
      </w:pPr>
      <w:r w:rsidRPr="005D3AB3">
        <w:rPr>
          <w:rStyle w:val="Appelnotedebasdep"/>
          <w:rFonts w:cs="Calibri"/>
        </w:rPr>
        <w:footnoteRef/>
      </w:r>
      <w:r w:rsidRPr="0056390A">
        <w:rPr>
          <w:rFonts w:cs="Calibri"/>
          <w:vertAlign w:val="superscript"/>
        </w:rPr>
        <w:t xml:space="preserve"> </w:t>
      </w:r>
      <w:r w:rsidRPr="0056390A">
        <w:rPr>
          <w:rFonts w:cs="Calibri"/>
        </w:rPr>
        <w:tab/>
        <w:t>Civil Code of Québec</w:t>
      </w:r>
      <w:r w:rsidRPr="0056390A">
        <w:t xml:space="preserve"> (CCQ), c. CCQ-1991</w:t>
      </w:r>
      <w:r w:rsidRPr="0056390A">
        <w:rPr>
          <w:rFonts w:cs="Calibri"/>
        </w:rPr>
        <w:t>, art. 24; TCPS2, art. 3.12.</w:t>
      </w:r>
    </w:p>
  </w:footnote>
  <w:footnote w:id="12">
    <w:p w14:paraId="64A06BD6" w14:textId="58ECD315" w:rsidR="00750C36" w:rsidRPr="0056390A" w:rsidRDefault="00750C36" w:rsidP="00750C36">
      <w:pPr>
        <w:pStyle w:val="Notedebasdepage"/>
        <w:jc w:val="left"/>
        <w:rPr>
          <w:lang w:val="en-US"/>
        </w:rPr>
      </w:pPr>
      <w:r w:rsidRPr="005D3AB3">
        <w:rPr>
          <w:rStyle w:val="Appelnotedebasdep"/>
          <w:rFonts w:cs="Calibri"/>
        </w:rPr>
        <w:footnoteRef/>
      </w:r>
      <w:r w:rsidRPr="0056390A">
        <w:rPr>
          <w:rFonts w:cs="Calibri"/>
          <w:vertAlign w:val="superscript"/>
          <w:lang w:val="en-US"/>
        </w:rPr>
        <w:t xml:space="preserve"> </w:t>
      </w:r>
      <w:r w:rsidRPr="0056390A">
        <w:rPr>
          <w:rFonts w:cs="Calibri"/>
          <w:lang w:val="en-US"/>
        </w:rPr>
        <w:tab/>
        <w:t xml:space="preserve">TCPS2, </w:t>
      </w:r>
      <w:r w:rsidR="00267F58">
        <w:rPr>
          <w:rFonts w:cs="Calibri"/>
          <w:lang w:val="en-US"/>
        </w:rPr>
        <w:t xml:space="preserve">application under </w:t>
      </w:r>
      <w:r w:rsidRPr="0056390A">
        <w:rPr>
          <w:rFonts w:cs="Calibri"/>
          <w:lang w:val="en-US"/>
        </w:rPr>
        <w:t>art. 11.6</w:t>
      </w:r>
      <w:r w:rsidR="00267F58">
        <w:rPr>
          <w:rFonts w:cs="Calibri"/>
          <w:lang w:val="en-US"/>
        </w:rPr>
        <w:t xml:space="preserve"> and</w:t>
      </w:r>
      <w:r w:rsidRPr="0056390A">
        <w:rPr>
          <w:rFonts w:cs="Calibri"/>
          <w:lang w:val="en-US"/>
        </w:rPr>
        <w:t xml:space="preserve"> 11.7; TDR, s. 6.2.1.6.</w:t>
      </w:r>
    </w:p>
  </w:footnote>
  <w:footnote w:id="13">
    <w:p w14:paraId="7955EDCB" w14:textId="14DED5B4" w:rsidR="00750C36" w:rsidRPr="0056390A" w:rsidRDefault="00750C36" w:rsidP="00750C36">
      <w:pPr>
        <w:pStyle w:val="Notedebasdepage"/>
        <w:jc w:val="left"/>
      </w:pPr>
      <w:r w:rsidRPr="005D3AB3">
        <w:rPr>
          <w:rStyle w:val="Appelnotedebasdep"/>
          <w:rFonts w:cs="Calibri"/>
        </w:rPr>
        <w:footnoteRef/>
      </w:r>
      <w:r w:rsidRPr="0056390A">
        <w:rPr>
          <w:rFonts w:cs="Calibri"/>
        </w:rPr>
        <w:t xml:space="preserve"> </w:t>
      </w:r>
      <w:r w:rsidRPr="0056390A">
        <w:rPr>
          <w:rFonts w:cs="Calibri"/>
        </w:rPr>
        <w:tab/>
        <w:t xml:space="preserve">TCPS2, art. 5.1 à 5.3; </w:t>
      </w:r>
      <w:r w:rsidRPr="0056390A">
        <w:rPr>
          <w:rFonts w:cs="Calibri"/>
          <w:bCs/>
          <w:lang w:eastAsia="en-CA"/>
        </w:rPr>
        <w:t>Québec Charter of Human Rights and Freedoms</w:t>
      </w:r>
      <w:r w:rsidRPr="0056390A">
        <w:rPr>
          <w:rFonts w:cs="Calibri"/>
        </w:rPr>
        <w:t xml:space="preserve">, </w:t>
      </w:r>
      <w:r w:rsidRPr="0056390A">
        <w:t>CQLR,</w:t>
      </w:r>
      <w:r w:rsidRPr="0056390A">
        <w:rPr>
          <w:rFonts w:cs="Calibri"/>
        </w:rPr>
        <w:t xml:space="preserve"> c. C-12, </w:t>
      </w:r>
      <w:r w:rsidR="000B686C">
        <w:rPr>
          <w:rFonts w:cs="Calibri"/>
        </w:rPr>
        <w:t>s</w:t>
      </w:r>
      <w:r w:rsidRPr="0056390A">
        <w:rPr>
          <w:rFonts w:cs="Calibri"/>
        </w:rPr>
        <w:t>. 5; Civil Code of Québec</w:t>
      </w:r>
      <w:r w:rsidRPr="0056390A">
        <w:t xml:space="preserve"> (CCQ), c. CCQ-1991</w:t>
      </w:r>
      <w:r w:rsidRPr="0056390A">
        <w:rPr>
          <w:rFonts w:cs="Calibri"/>
        </w:rPr>
        <w:t xml:space="preserve">, art. 3 and 35-37; </w:t>
      </w:r>
      <w:r w:rsidRPr="0056390A">
        <w:t>Act Respecting Health Services and Social Services</w:t>
      </w:r>
      <w:r w:rsidRPr="0056390A">
        <w:rPr>
          <w:rFonts w:cs="Calibri"/>
        </w:rPr>
        <w:t xml:space="preserve">, </w:t>
      </w:r>
      <w:r w:rsidR="000B686C">
        <w:rPr>
          <w:rFonts w:cs="Calibri"/>
        </w:rPr>
        <w:t>s</w:t>
      </w:r>
      <w:r w:rsidRPr="0056390A">
        <w:rPr>
          <w:rFonts w:cs="Calibri"/>
        </w:rPr>
        <w:t xml:space="preserve">. 19; </w:t>
      </w:r>
      <w:r w:rsidRPr="0056390A">
        <w:t>Act Respecting Access to Documents Held by Public Bodies and the Protection of Personal Information, CQLR, c. A-2.1</w:t>
      </w:r>
      <w:r w:rsidRPr="0056390A">
        <w:rPr>
          <w:rFonts w:cs="Calibri"/>
        </w:rPr>
        <w:t xml:space="preserve">, </w:t>
      </w:r>
      <w:r w:rsidR="000B686C">
        <w:rPr>
          <w:rFonts w:cs="Calibri"/>
        </w:rPr>
        <w:t>s</w:t>
      </w:r>
      <w:r w:rsidRPr="0056390A">
        <w:rPr>
          <w:rFonts w:cs="Calibri"/>
        </w:rPr>
        <w:t xml:space="preserve">. 53; TDR, s. 6.2.4; </w:t>
      </w:r>
      <w:r w:rsidRPr="0056390A">
        <w:rPr>
          <w:rFonts w:cs="Calibri"/>
          <w:i/>
        </w:rPr>
        <w:t>Avis</w:t>
      </w:r>
      <w:r w:rsidRPr="0056390A">
        <w:rPr>
          <w:rFonts w:cs="Calibri"/>
        </w:rPr>
        <w:t>, p. 1039</w:t>
      </w:r>
      <w:r w:rsidRPr="0056390A">
        <w:t>.</w:t>
      </w:r>
    </w:p>
  </w:footnote>
  <w:footnote w:id="14">
    <w:p w14:paraId="70908B04" w14:textId="77777777" w:rsidR="00750C36" w:rsidRPr="0056390A" w:rsidRDefault="00750C36" w:rsidP="00750C36">
      <w:pPr>
        <w:pStyle w:val="Notedebasdepage"/>
        <w:jc w:val="left"/>
      </w:pPr>
      <w:r w:rsidRPr="00AB7FF1">
        <w:rPr>
          <w:rStyle w:val="Appelnotedebasdep"/>
          <w:rFonts w:cs="Calibri"/>
        </w:rPr>
        <w:footnoteRef/>
      </w:r>
      <w:r w:rsidRPr="0056390A">
        <w:rPr>
          <w:rFonts w:cs="Calibri"/>
          <w:vertAlign w:val="superscript"/>
        </w:rPr>
        <w:t xml:space="preserve"> </w:t>
      </w:r>
      <w:r w:rsidRPr="0056390A">
        <w:rPr>
          <w:rFonts w:cs="Calibri"/>
        </w:rPr>
        <w:tab/>
      </w:r>
      <w:r w:rsidRPr="009221B9">
        <w:rPr>
          <w:rFonts w:cs="Calibri"/>
        </w:rPr>
        <w:t>TDR</w:t>
      </w:r>
      <w:r w:rsidRPr="0056390A">
        <w:rPr>
          <w:rFonts w:cs="Calibri"/>
        </w:rPr>
        <w:t>, s. 6.2.3.6 and 6.2.3.8.</w:t>
      </w:r>
    </w:p>
  </w:footnote>
  <w:footnote w:id="15">
    <w:p w14:paraId="74320579" w14:textId="77777777" w:rsidR="00750C36" w:rsidRPr="0056390A" w:rsidRDefault="00750C36" w:rsidP="00750C36">
      <w:pPr>
        <w:pStyle w:val="Notedebasdepage"/>
        <w:jc w:val="left"/>
      </w:pPr>
      <w:r w:rsidRPr="00AB7FF1">
        <w:rPr>
          <w:rStyle w:val="Appelnotedebasdep"/>
          <w:rFonts w:cs="Calibri"/>
        </w:rPr>
        <w:footnoteRef/>
      </w:r>
      <w:r w:rsidRPr="0056390A">
        <w:rPr>
          <w:rFonts w:cs="Calibri"/>
        </w:rPr>
        <w:t xml:space="preserve"> </w:t>
      </w:r>
      <w:r w:rsidRPr="0056390A">
        <w:rPr>
          <w:rFonts w:cs="Calibri"/>
        </w:rPr>
        <w:tab/>
      </w:r>
      <w:r w:rsidRPr="009221B9">
        <w:rPr>
          <w:rFonts w:cs="Calibri"/>
        </w:rPr>
        <w:t>TCPS2</w:t>
      </w:r>
      <w:r w:rsidRPr="0056390A">
        <w:rPr>
          <w:rFonts w:cs="Calibri"/>
        </w:rPr>
        <w:t xml:space="preserve">, art. 11.12; </w:t>
      </w:r>
      <w:r w:rsidRPr="009221B9">
        <w:rPr>
          <w:rFonts w:cs="Calibri"/>
        </w:rPr>
        <w:t>TDR</w:t>
      </w:r>
      <w:r w:rsidRPr="0056390A">
        <w:rPr>
          <w:rFonts w:cs="Calibri"/>
        </w:rPr>
        <w:t xml:space="preserve">, </w:t>
      </w:r>
      <w:r>
        <w:rPr>
          <w:rFonts w:cs="Calibri"/>
        </w:rPr>
        <w:t>s.</w:t>
      </w:r>
      <w:r w:rsidRPr="0056390A">
        <w:rPr>
          <w:rFonts w:cs="Calibri"/>
        </w:rPr>
        <w:t> 6.2.1.8.</w:t>
      </w:r>
    </w:p>
  </w:footnote>
  <w:footnote w:id="16">
    <w:p w14:paraId="3E08D7E3" w14:textId="43B91D4D" w:rsidR="00750C36" w:rsidRPr="0056390A" w:rsidRDefault="00750C36" w:rsidP="00750C36">
      <w:pPr>
        <w:pStyle w:val="Notedebasdepage"/>
        <w:jc w:val="left"/>
      </w:pPr>
      <w:r w:rsidRPr="00AB7FF1">
        <w:rPr>
          <w:rStyle w:val="Appelnotedebasdep"/>
          <w:rFonts w:cs="Calibri"/>
        </w:rPr>
        <w:footnoteRef/>
      </w:r>
      <w:r w:rsidRPr="0056390A">
        <w:rPr>
          <w:rFonts w:cs="Calibri"/>
        </w:rPr>
        <w:t xml:space="preserve"> </w:t>
      </w:r>
      <w:r w:rsidRPr="0056390A">
        <w:rPr>
          <w:rFonts w:cs="Calibri"/>
        </w:rPr>
        <w:tab/>
      </w:r>
      <w:r w:rsidRPr="009221B9">
        <w:rPr>
          <w:rFonts w:cs="Calibri"/>
        </w:rPr>
        <w:t>TCPS2</w:t>
      </w:r>
      <w:r w:rsidRPr="0056390A">
        <w:rPr>
          <w:rFonts w:cs="Calibri"/>
        </w:rPr>
        <w:t>, art. 11.</w:t>
      </w:r>
      <w:r w:rsidR="00705977">
        <w:rPr>
          <w:rFonts w:cs="Calibri"/>
        </w:rPr>
        <w:t>10</w:t>
      </w:r>
      <w:r w:rsidRPr="0056390A">
        <w:rPr>
          <w:rFonts w:cs="Calibri"/>
        </w:rPr>
        <w:t>.</w:t>
      </w:r>
    </w:p>
  </w:footnote>
  <w:footnote w:id="17">
    <w:p w14:paraId="12DC0CBD" w14:textId="2FA5F4AE" w:rsidR="00750C36" w:rsidRPr="0056390A" w:rsidRDefault="00750C36" w:rsidP="00750C36">
      <w:pPr>
        <w:pStyle w:val="Notedebasdepage"/>
        <w:jc w:val="left"/>
      </w:pPr>
      <w:r w:rsidRPr="00AB7FF1">
        <w:rPr>
          <w:rStyle w:val="Appelnotedebasdep"/>
          <w:rFonts w:cs="Calibri"/>
        </w:rPr>
        <w:footnoteRef/>
      </w:r>
      <w:r w:rsidRPr="0056390A">
        <w:rPr>
          <w:rFonts w:cs="Calibri"/>
        </w:rPr>
        <w:t xml:space="preserve"> </w:t>
      </w:r>
      <w:r w:rsidRPr="0056390A">
        <w:rPr>
          <w:rFonts w:cs="Calibri"/>
        </w:rPr>
        <w:tab/>
      </w:r>
      <w:r w:rsidRPr="0056390A">
        <w:t xml:space="preserve">Act Respecting Health Services and Social Services, </w:t>
      </w:r>
      <w:r w:rsidR="000B686C">
        <w:rPr>
          <w:rFonts w:cs="Calibri"/>
        </w:rPr>
        <w:t>s</w:t>
      </w:r>
      <w:r w:rsidRPr="0056390A">
        <w:rPr>
          <w:rFonts w:cs="Calibri"/>
        </w:rPr>
        <w:t>. 19.2.</w:t>
      </w:r>
    </w:p>
  </w:footnote>
  <w:footnote w:id="18">
    <w:p w14:paraId="1EE163A3" w14:textId="77777777" w:rsidR="00750C36" w:rsidRPr="00750C36" w:rsidRDefault="00750C36" w:rsidP="00750C36">
      <w:pPr>
        <w:pStyle w:val="Notedebasdepage"/>
        <w:jc w:val="left"/>
        <w:rPr>
          <w:lang w:val="fr-CA"/>
        </w:rPr>
      </w:pPr>
      <w:r w:rsidRPr="00AB7FF1">
        <w:rPr>
          <w:rStyle w:val="Appelnotedebasdep"/>
          <w:rFonts w:cs="Calibri"/>
        </w:rPr>
        <w:footnoteRef/>
      </w:r>
      <w:r w:rsidRPr="00750C36">
        <w:rPr>
          <w:rFonts w:cs="Calibri"/>
          <w:lang w:val="fr-CA"/>
        </w:rPr>
        <w:t xml:space="preserve"> </w:t>
      </w:r>
      <w:r w:rsidRPr="00750C36">
        <w:rPr>
          <w:rFonts w:cs="Calibri"/>
          <w:lang w:val="fr-CA"/>
        </w:rPr>
        <w:tab/>
        <w:t xml:space="preserve">ICH GCP, s. 3.1.4; </w:t>
      </w:r>
      <w:r w:rsidRPr="00750C36">
        <w:rPr>
          <w:rFonts w:cs="Calibri"/>
          <w:i/>
          <w:lang w:val="fr-CA"/>
        </w:rPr>
        <w:t>Modèle</w:t>
      </w:r>
      <w:r w:rsidRPr="00750C36">
        <w:rPr>
          <w:rFonts w:cs="Calibri"/>
          <w:lang w:val="fr-CA"/>
        </w:rPr>
        <w:t>, s. 11; TCPS2, p. 82; TDR, 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216D"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69543F08" w14:textId="77777777" w:rsidTr="58B8826E">
      <w:trPr>
        <w:trHeight w:val="567"/>
      </w:trPr>
      <w:tc>
        <w:tcPr>
          <w:tcW w:w="4957" w:type="dxa"/>
          <w:vMerge w:val="restart"/>
          <w:tcBorders>
            <w:right w:val="single" w:sz="4" w:space="0" w:color="auto"/>
          </w:tcBorders>
          <w:shd w:val="clear" w:color="auto" w:fill="auto"/>
          <w:vAlign w:val="center"/>
        </w:tcPr>
        <w:p w14:paraId="24A635E1" w14:textId="6B0A3545"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76DC611" w14:textId="5E3F7E2D" w:rsidR="0030269A" w:rsidRPr="00D0004E" w:rsidRDefault="58B8826E" w:rsidP="58B8826E">
          <w:pPr>
            <w:spacing w:before="0" w:after="0"/>
            <w:jc w:val="right"/>
            <w:rPr>
              <w:sz w:val="32"/>
              <w:szCs w:val="32"/>
              <w:lang w:val="en-US"/>
            </w:rPr>
          </w:pPr>
          <w:r w:rsidRPr="58B8826E">
            <w:rPr>
              <w:sz w:val="32"/>
              <w:szCs w:val="32"/>
              <w:lang w:val="en-US"/>
            </w:rPr>
            <w:t>REB-</w:t>
          </w:r>
          <w:r w:rsidR="00750C36">
            <w:rPr>
              <w:sz w:val="32"/>
              <w:szCs w:val="32"/>
              <w:lang w:val="en-US"/>
            </w:rPr>
            <w:t>SOP 403</w:t>
          </w:r>
          <w:r w:rsidR="00837A91">
            <w:rPr>
              <w:sz w:val="32"/>
              <w:szCs w:val="32"/>
              <w:lang w:val="en-US"/>
            </w:rPr>
            <w:t>-002</w:t>
          </w:r>
        </w:p>
      </w:tc>
    </w:tr>
    <w:tr w:rsidR="0030269A" w:rsidRPr="005A11F5" w14:paraId="2E8EF2A5" w14:textId="77777777" w:rsidTr="58B8826E">
      <w:trPr>
        <w:trHeight w:val="567"/>
      </w:trPr>
      <w:tc>
        <w:tcPr>
          <w:tcW w:w="4957" w:type="dxa"/>
          <w:vMerge/>
        </w:tcPr>
        <w:p w14:paraId="60031356"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7109A6A0" w14:textId="77777777" w:rsidR="0030269A" w:rsidRPr="002F7EC5" w:rsidRDefault="0030269A" w:rsidP="0030269A">
          <w:pPr>
            <w:spacing w:before="0" w:after="0"/>
            <w:jc w:val="right"/>
            <w:rPr>
              <w:lang w:val="en-US"/>
            </w:rPr>
          </w:pPr>
          <w:r w:rsidRPr="002F7EC5">
            <w:rPr>
              <w:lang w:val="en-US"/>
            </w:rPr>
            <w:t>Research Ethics Board</w:t>
          </w:r>
        </w:p>
        <w:p w14:paraId="1A4A46E8" w14:textId="77777777" w:rsidR="0030269A" w:rsidRPr="002F7EC5" w:rsidRDefault="0030269A" w:rsidP="0030269A">
          <w:pPr>
            <w:spacing w:before="0" w:after="0"/>
            <w:jc w:val="right"/>
            <w:rPr>
              <w:lang w:val="en-US"/>
            </w:rPr>
          </w:pPr>
          <w:r w:rsidRPr="002F7EC5">
            <w:rPr>
              <w:lang w:val="en-US"/>
            </w:rPr>
            <w:t>Standard Operating Procedure</w:t>
          </w:r>
        </w:p>
      </w:tc>
    </w:tr>
  </w:tbl>
  <w:p w14:paraId="3CFF7EE8" w14:textId="77777777" w:rsidR="0030269A" w:rsidRPr="002F7EC5" w:rsidRDefault="0030269A" w:rsidP="0030269A">
    <w:pPr>
      <w:pStyle w:val="En-tte"/>
      <w:rPr>
        <w:lang w:val="en-US"/>
      </w:rPr>
    </w:pPr>
  </w:p>
  <w:p w14:paraId="30B45164"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6F0A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A7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A5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2A6F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D300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5A1FF5"/>
    <w:multiLevelType w:val="multilevel"/>
    <w:tmpl w:val="8A06ABBA"/>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i w:val="0"/>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346755136">
    <w:abstractNumId w:val="14"/>
  </w:num>
  <w:num w:numId="2" w16cid:durableId="1026563365">
    <w:abstractNumId w:val="20"/>
  </w:num>
  <w:num w:numId="3" w16cid:durableId="562064058">
    <w:abstractNumId w:val="23"/>
  </w:num>
  <w:num w:numId="4" w16cid:durableId="1761179769">
    <w:abstractNumId w:val="4"/>
  </w:num>
  <w:num w:numId="5" w16cid:durableId="340425899">
    <w:abstractNumId w:val="5"/>
  </w:num>
  <w:num w:numId="6" w16cid:durableId="1279028563">
    <w:abstractNumId w:val="6"/>
  </w:num>
  <w:num w:numId="7" w16cid:durableId="39869845">
    <w:abstractNumId w:val="7"/>
  </w:num>
  <w:num w:numId="8" w16cid:durableId="1303080268">
    <w:abstractNumId w:val="9"/>
  </w:num>
  <w:num w:numId="9" w16cid:durableId="8992528">
    <w:abstractNumId w:val="0"/>
  </w:num>
  <w:num w:numId="10" w16cid:durableId="1939754164">
    <w:abstractNumId w:val="1"/>
  </w:num>
  <w:num w:numId="11" w16cid:durableId="298994130">
    <w:abstractNumId w:val="2"/>
  </w:num>
  <w:num w:numId="12" w16cid:durableId="1488008519">
    <w:abstractNumId w:val="3"/>
  </w:num>
  <w:num w:numId="13" w16cid:durableId="1388459552">
    <w:abstractNumId w:val="8"/>
  </w:num>
  <w:num w:numId="14" w16cid:durableId="2054963513">
    <w:abstractNumId w:val="19"/>
  </w:num>
  <w:num w:numId="15" w16cid:durableId="185949920">
    <w:abstractNumId w:val="17"/>
  </w:num>
  <w:num w:numId="16" w16cid:durableId="1791776559">
    <w:abstractNumId w:val="11"/>
  </w:num>
  <w:num w:numId="17" w16cid:durableId="721754394">
    <w:abstractNumId w:val="10"/>
  </w:num>
  <w:num w:numId="18" w16cid:durableId="1303920402">
    <w:abstractNumId w:val="22"/>
  </w:num>
  <w:num w:numId="19" w16cid:durableId="1439565789">
    <w:abstractNumId w:val="15"/>
  </w:num>
  <w:num w:numId="20" w16cid:durableId="1540164256">
    <w:abstractNumId w:val="13"/>
  </w:num>
  <w:num w:numId="21" w16cid:durableId="1820220181">
    <w:abstractNumId w:val="12"/>
  </w:num>
  <w:num w:numId="22" w16cid:durableId="2024238254">
    <w:abstractNumId w:val="21"/>
  </w:num>
  <w:num w:numId="23" w16cid:durableId="733090272">
    <w:abstractNumId w:val="16"/>
  </w:num>
  <w:num w:numId="24" w16cid:durableId="1433083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52"/>
    <w:rsid w:val="00012A3D"/>
    <w:rsid w:val="0002610A"/>
    <w:rsid w:val="000731F7"/>
    <w:rsid w:val="000B686C"/>
    <w:rsid w:val="000F6170"/>
    <w:rsid w:val="0019693D"/>
    <w:rsid w:val="001B185D"/>
    <w:rsid w:val="00226DCF"/>
    <w:rsid w:val="00267F58"/>
    <w:rsid w:val="00283978"/>
    <w:rsid w:val="0028581A"/>
    <w:rsid w:val="002B5BA5"/>
    <w:rsid w:val="002B5EA6"/>
    <w:rsid w:val="002E18ED"/>
    <w:rsid w:val="002E750D"/>
    <w:rsid w:val="0030269A"/>
    <w:rsid w:val="00302BF0"/>
    <w:rsid w:val="00305F5F"/>
    <w:rsid w:val="003118D5"/>
    <w:rsid w:val="0032222C"/>
    <w:rsid w:val="003411FD"/>
    <w:rsid w:val="00381E3D"/>
    <w:rsid w:val="00386EA4"/>
    <w:rsid w:val="003F73C1"/>
    <w:rsid w:val="00407B78"/>
    <w:rsid w:val="004249D9"/>
    <w:rsid w:val="004374F7"/>
    <w:rsid w:val="00444D39"/>
    <w:rsid w:val="00525E25"/>
    <w:rsid w:val="00532445"/>
    <w:rsid w:val="00542A47"/>
    <w:rsid w:val="0059613B"/>
    <w:rsid w:val="005A11F5"/>
    <w:rsid w:val="00601C6C"/>
    <w:rsid w:val="00630252"/>
    <w:rsid w:val="00660163"/>
    <w:rsid w:val="006679F4"/>
    <w:rsid w:val="00695F59"/>
    <w:rsid w:val="006A4376"/>
    <w:rsid w:val="006A5476"/>
    <w:rsid w:val="006E1306"/>
    <w:rsid w:val="00702B98"/>
    <w:rsid w:val="00705977"/>
    <w:rsid w:val="00720CC4"/>
    <w:rsid w:val="00750C36"/>
    <w:rsid w:val="00753239"/>
    <w:rsid w:val="00756C58"/>
    <w:rsid w:val="007A6ED4"/>
    <w:rsid w:val="00802F4C"/>
    <w:rsid w:val="00837A91"/>
    <w:rsid w:val="0084177B"/>
    <w:rsid w:val="00861AE8"/>
    <w:rsid w:val="008729A6"/>
    <w:rsid w:val="008A587F"/>
    <w:rsid w:val="008E5297"/>
    <w:rsid w:val="008F4B93"/>
    <w:rsid w:val="00955A89"/>
    <w:rsid w:val="00961C34"/>
    <w:rsid w:val="009754E0"/>
    <w:rsid w:val="00986A54"/>
    <w:rsid w:val="00987D4A"/>
    <w:rsid w:val="009B53EB"/>
    <w:rsid w:val="00A26CA7"/>
    <w:rsid w:val="00A313CE"/>
    <w:rsid w:val="00A46025"/>
    <w:rsid w:val="00A967C9"/>
    <w:rsid w:val="00B15167"/>
    <w:rsid w:val="00B43B4B"/>
    <w:rsid w:val="00B66BD6"/>
    <w:rsid w:val="00B66EA8"/>
    <w:rsid w:val="00B860C2"/>
    <w:rsid w:val="00BF7E48"/>
    <w:rsid w:val="00C7784E"/>
    <w:rsid w:val="00C90688"/>
    <w:rsid w:val="00CB5154"/>
    <w:rsid w:val="00CE63B7"/>
    <w:rsid w:val="00D14E15"/>
    <w:rsid w:val="00D34F72"/>
    <w:rsid w:val="00DC2BA3"/>
    <w:rsid w:val="00DE6EE9"/>
    <w:rsid w:val="00E36E99"/>
    <w:rsid w:val="00E428CC"/>
    <w:rsid w:val="00E470A3"/>
    <w:rsid w:val="00E83DF3"/>
    <w:rsid w:val="00EB3982"/>
    <w:rsid w:val="00EC101E"/>
    <w:rsid w:val="00EC34C7"/>
    <w:rsid w:val="00EC6FBF"/>
    <w:rsid w:val="00EE08B6"/>
    <w:rsid w:val="00F443B2"/>
    <w:rsid w:val="00FA6300"/>
    <w:rsid w:val="00FC636C"/>
    <w:rsid w:val="00FD5A2D"/>
    <w:rsid w:val="00FE2040"/>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89BC"/>
  <w14:defaultImageDpi w14:val="32767"/>
  <w15:chartTrackingRefBased/>
  <w15:docId w15:val="{32D27630-532F-4CD6-A602-E46E3474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0C3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84177B"/>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84177B"/>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750C36"/>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750C36"/>
    <w:rPr>
      <w:rFonts w:ascii="Arial" w:eastAsia="Times New Roman" w:hAnsi="Arial" w:cs="Times New Roman"/>
      <w:lang w:val="en-US"/>
    </w:rPr>
  </w:style>
  <w:style w:type="paragraph" w:customStyle="1" w:styleId="Paragraphedeliste1">
    <w:name w:val="Paragraphe de liste1"/>
    <w:basedOn w:val="Normal"/>
    <w:rsid w:val="00750C36"/>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750C36"/>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750C36"/>
  </w:style>
  <w:style w:type="character" w:customStyle="1" w:styleId="normaltextrun">
    <w:name w:val="normaltextrun"/>
    <w:basedOn w:val="Policepardfaut"/>
    <w:rsid w:val="0026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8B713-241D-4C88-A6DF-26308CFEB2A6}">
  <ds:schemaRefs>
    <ds:schemaRef ds:uri="http://schemas.microsoft.com/sharepoint/v3/contenttype/forms"/>
  </ds:schemaRefs>
</ds:datastoreItem>
</file>

<file path=customXml/itemProps2.xml><?xml version="1.0" encoding="utf-8"?>
<ds:datastoreItem xmlns:ds="http://schemas.openxmlformats.org/officeDocument/2006/customXml" ds:itemID="{029E8FCE-AE07-4954-BA2E-7749389AED99}">
  <ds:schemaRefs>
    <ds:schemaRef ds:uri="http://schemas.openxmlformats.org/officeDocument/2006/bibliography"/>
  </ds:schemaRefs>
</ds:datastoreItem>
</file>

<file path=customXml/itemProps3.xml><?xml version="1.0" encoding="utf-8"?>
<ds:datastoreItem xmlns:ds="http://schemas.openxmlformats.org/officeDocument/2006/customXml" ds:itemID="{4DA08581-F99A-4C09-A1B2-D35C3E72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48</TotalTime>
  <Pages>1</Pages>
  <Words>1073</Words>
  <Characters>5903</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19</cp:revision>
  <dcterms:created xsi:type="dcterms:W3CDTF">2019-06-14T19:57:00Z</dcterms:created>
  <dcterms:modified xsi:type="dcterms:W3CDTF">2023-11-21T21:43:00Z</dcterms:modified>
</cp:coreProperties>
</file>