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BCEC" w14:textId="77777777" w:rsidR="0030269A" w:rsidRPr="005E7F03" w:rsidRDefault="0030269A" w:rsidP="00BB1A94">
      <w:pPr>
        <w:spacing w:before="0" w:after="0"/>
      </w:pPr>
    </w:p>
    <w:tbl>
      <w:tblPr>
        <w:tblStyle w:val="Grilledutableau"/>
        <w:tblW w:w="0" w:type="auto"/>
        <w:tblLook w:val="04A0" w:firstRow="1" w:lastRow="0" w:firstColumn="1" w:lastColumn="0" w:noHBand="0" w:noVBand="1"/>
      </w:tblPr>
      <w:tblGrid>
        <w:gridCol w:w="3325"/>
        <w:gridCol w:w="6745"/>
      </w:tblGrid>
      <w:tr w:rsidR="0030269A" w:rsidRPr="005E7F03" w14:paraId="5DC4BFBD" w14:textId="77777777" w:rsidTr="00012A3D">
        <w:tc>
          <w:tcPr>
            <w:tcW w:w="3325" w:type="dxa"/>
          </w:tcPr>
          <w:p w14:paraId="6495A0A5" w14:textId="77777777" w:rsidR="0030269A" w:rsidRPr="005E7F03" w:rsidRDefault="0030269A" w:rsidP="00BB1A94">
            <w:pPr>
              <w:spacing w:before="60" w:after="60"/>
              <w:rPr>
                <w:b/>
              </w:rPr>
            </w:pPr>
            <w:r w:rsidRPr="005E7F03">
              <w:rPr>
                <w:b/>
              </w:rPr>
              <w:t>Title</w:t>
            </w:r>
          </w:p>
        </w:tc>
        <w:tc>
          <w:tcPr>
            <w:tcW w:w="6745" w:type="dxa"/>
          </w:tcPr>
          <w:p w14:paraId="5B40BDF8" w14:textId="77777777" w:rsidR="0030269A" w:rsidRPr="005E7F03" w:rsidRDefault="00CA0107" w:rsidP="00BB1A94">
            <w:pPr>
              <w:spacing w:before="60" w:after="60"/>
            </w:pPr>
            <w:r w:rsidRPr="005E7F03">
              <w:t>Delegated Review</w:t>
            </w:r>
          </w:p>
        </w:tc>
      </w:tr>
      <w:tr w:rsidR="0030269A" w:rsidRPr="005E7F03" w14:paraId="4AEEF72A" w14:textId="77777777" w:rsidTr="00012A3D">
        <w:tc>
          <w:tcPr>
            <w:tcW w:w="3325" w:type="dxa"/>
          </w:tcPr>
          <w:p w14:paraId="5FFC9E09" w14:textId="77777777" w:rsidR="0030269A" w:rsidRPr="005E7F03" w:rsidRDefault="58B8826E" w:rsidP="00BB1A94">
            <w:pPr>
              <w:spacing w:before="60" w:after="60"/>
              <w:rPr>
                <w:b/>
                <w:bCs/>
              </w:rPr>
            </w:pPr>
            <w:r w:rsidRPr="005E7F03">
              <w:rPr>
                <w:b/>
                <w:bCs/>
              </w:rPr>
              <w:t>SOP Code</w:t>
            </w:r>
          </w:p>
        </w:tc>
        <w:tc>
          <w:tcPr>
            <w:tcW w:w="6745" w:type="dxa"/>
          </w:tcPr>
          <w:p w14:paraId="79479A14" w14:textId="2EC0C1C5" w:rsidR="0030269A" w:rsidRPr="005E7F03" w:rsidRDefault="00CA0107" w:rsidP="00BB1A94">
            <w:pPr>
              <w:spacing w:before="60" w:after="60"/>
            </w:pPr>
            <w:r w:rsidRPr="005E7F03">
              <w:t>REB SOP 402</w:t>
            </w:r>
            <w:r w:rsidR="007904C8" w:rsidRPr="005E7F03">
              <w:t>-002</w:t>
            </w:r>
          </w:p>
        </w:tc>
      </w:tr>
      <w:tr w:rsidR="0030269A" w:rsidRPr="005E7F03" w14:paraId="0853EC40" w14:textId="77777777" w:rsidTr="00012A3D">
        <w:tc>
          <w:tcPr>
            <w:tcW w:w="3325" w:type="dxa"/>
          </w:tcPr>
          <w:p w14:paraId="4C8CD083" w14:textId="77777777" w:rsidR="0030269A" w:rsidRPr="005E7F03" w:rsidRDefault="0030269A" w:rsidP="00BB1A94">
            <w:pPr>
              <w:spacing w:before="60" w:after="60"/>
              <w:rPr>
                <w:b/>
              </w:rPr>
            </w:pPr>
            <w:r w:rsidRPr="005E7F03">
              <w:rPr>
                <w:b/>
              </w:rPr>
              <w:t>N2/CAREB SOP CODE</w:t>
            </w:r>
          </w:p>
        </w:tc>
        <w:tc>
          <w:tcPr>
            <w:tcW w:w="6745" w:type="dxa"/>
          </w:tcPr>
          <w:p w14:paraId="51280BA7" w14:textId="33D67849" w:rsidR="0030269A" w:rsidRPr="005E7F03" w:rsidRDefault="00CA0107" w:rsidP="00BB1A94">
            <w:pPr>
              <w:spacing w:before="60" w:after="60"/>
            </w:pPr>
            <w:r w:rsidRPr="005E7F03">
              <w:t>SOP 401</w:t>
            </w:r>
            <w:r w:rsidR="007904C8" w:rsidRPr="005E7F03">
              <w:t>-003</w:t>
            </w:r>
          </w:p>
        </w:tc>
      </w:tr>
      <w:tr w:rsidR="0030269A" w:rsidRPr="005E7F03" w14:paraId="07416B9D" w14:textId="77777777" w:rsidTr="00012A3D">
        <w:tc>
          <w:tcPr>
            <w:tcW w:w="3325" w:type="dxa"/>
          </w:tcPr>
          <w:p w14:paraId="169AF9EA" w14:textId="77777777" w:rsidR="0030269A" w:rsidRPr="005E7F03" w:rsidRDefault="0030269A" w:rsidP="00BB1A94">
            <w:pPr>
              <w:spacing w:before="60" w:after="60"/>
              <w:rPr>
                <w:b/>
              </w:rPr>
            </w:pPr>
            <w:r w:rsidRPr="005E7F03">
              <w:rPr>
                <w:b/>
              </w:rPr>
              <w:t>Effective Date</w:t>
            </w:r>
          </w:p>
        </w:tc>
        <w:tc>
          <w:tcPr>
            <w:tcW w:w="6745" w:type="dxa"/>
          </w:tcPr>
          <w:p w14:paraId="5272555B" w14:textId="77777777" w:rsidR="0030269A" w:rsidRPr="005E7F03" w:rsidRDefault="0030269A" w:rsidP="00BB1A94">
            <w:pPr>
              <w:spacing w:before="60" w:after="60"/>
            </w:pPr>
            <w:r w:rsidRPr="005E7F03">
              <w:rPr>
                <w:highlight w:val="yellow"/>
              </w:rPr>
              <w:t>YYYY-MM-DD</w:t>
            </w:r>
          </w:p>
        </w:tc>
      </w:tr>
    </w:tbl>
    <w:p w14:paraId="73CA1A8F" w14:textId="77777777" w:rsidR="0030269A" w:rsidRPr="005E7F03" w:rsidRDefault="0030269A" w:rsidP="00BB1A94"/>
    <w:tbl>
      <w:tblPr>
        <w:tblStyle w:val="Grilledutableau"/>
        <w:tblW w:w="0" w:type="auto"/>
        <w:tblLook w:val="04A0" w:firstRow="1" w:lastRow="0" w:firstColumn="1" w:lastColumn="0" w:noHBand="0" w:noVBand="1"/>
      </w:tblPr>
      <w:tblGrid>
        <w:gridCol w:w="3325"/>
        <w:gridCol w:w="4467"/>
        <w:gridCol w:w="2206"/>
      </w:tblGrid>
      <w:tr w:rsidR="0030269A" w:rsidRPr="005E7F03" w14:paraId="0F429ED1" w14:textId="77777777" w:rsidTr="00012A3D">
        <w:tc>
          <w:tcPr>
            <w:tcW w:w="3325" w:type="dxa"/>
            <w:shd w:val="clear" w:color="auto" w:fill="D9D9D9" w:themeFill="background1" w:themeFillShade="D9"/>
          </w:tcPr>
          <w:p w14:paraId="2B69C674" w14:textId="77777777" w:rsidR="0030269A" w:rsidRPr="005E7F03" w:rsidRDefault="0030269A" w:rsidP="00BB1A94">
            <w:pPr>
              <w:spacing w:before="60" w:after="60"/>
              <w:jc w:val="center"/>
              <w:rPr>
                <w:b/>
              </w:rPr>
            </w:pPr>
            <w:r w:rsidRPr="005E7F03">
              <w:rPr>
                <w:b/>
              </w:rPr>
              <w:t>Status</w:t>
            </w:r>
          </w:p>
        </w:tc>
        <w:tc>
          <w:tcPr>
            <w:tcW w:w="4467" w:type="dxa"/>
            <w:shd w:val="clear" w:color="auto" w:fill="D9D9D9" w:themeFill="background1" w:themeFillShade="D9"/>
          </w:tcPr>
          <w:p w14:paraId="13EF1634" w14:textId="77777777" w:rsidR="0030269A" w:rsidRPr="005E7F03" w:rsidRDefault="0030269A" w:rsidP="00BB1A94">
            <w:pPr>
              <w:spacing w:before="60" w:after="60"/>
              <w:jc w:val="center"/>
              <w:rPr>
                <w:b/>
              </w:rPr>
            </w:pPr>
            <w:r w:rsidRPr="005E7F03">
              <w:rPr>
                <w:b/>
              </w:rPr>
              <w:t>Name and Title</w:t>
            </w:r>
          </w:p>
        </w:tc>
        <w:tc>
          <w:tcPr>
            <w:tcW w:w="2206" w:type="dxa"/>
            <w:shd w:val="clear" w:color="auto" w:fill="D9D9D9" w:themeFill="background1" w:themeFillShade="D9"/>
          </w:tcPr>
          <w:p w14:paraId="563375FF" w14:textId="77777777" w:rsidR="0030269A" w:rsidRPr="005E7F03" w:rsidRDefault="0030269A" w:rsidP="00BB1A94">
            <w:pPr>
              <w:spacing w:before="60" w:after="60"/>
              <w:jc w:val="center"/>
              <w:rPr>
                <w:b/>
              </w:rPr>
            </w:pPr>
            <w:r w:rsidRPr="005E7F03">
              <w:rPr>
                <w:b/>
              </w:rPr>
              <w:t>Date</w:t>
            </w:r>
          </w:p>
        </w:tc>
      </w:tr>
      <w:tr w:rsidR="0030269A" w:rsidRPr="005E7F03" w14:paraId="564AE8FB" w14:textId="77777777" w:rsidTr="00012A3D">
        <w:tc>
          <w:tcPr>
            <w:tcW w:w="3325" w:type="dxa"/>
          </w:tcPr>
          <w:p w14:paraId="09D36FFA" w14:textId="77777777" w:rsidR="0030269A" w:rsidRPr="005E7F03" w:rsidRDefault="00012A3D" w:rsidP="00BB1A94">
            <w:pPr>
              <w:spacing w:before="60" w:after="60"/>
              <w:jc w:val="left"/>
              <w:rPr>
                <w:b/>
                <w:i/>
                <w:highlight w:val="yellow"/>
              </w:rPr>
            </w:pPr>
            <w:r w:rsidRPr="005E7F03">
              <w:rPr>
                <w:b/>
                <w:i/>
              </w:rPr>
              <w:t>Author of Harmonized Template</w:t>
            </w:r>
          </w:p>
        </w:tc>
        <w:tc>
          <w:tcPr>
            <w:tcW w:w="4467" w:type="dxa"/>
          </w:tcPr>
          <w:p w14:paraId="0F7B7834" w14:textId="45D15A91" w:rsidR="0030269A" w:rsidRPr="005E7F03" w:rsidRDefault="007904C8" w:rsidP="00BB1A94">
            <w:pPr>
              <w:spacing w:before="60" w:after="60"/>
            </w:pPr>
            <w:r w:rsidRPr="005E7F03">
              <w:t xml:space="preserve">REB </w:t>
            </w:r>
            <w:r w:rsidR="00CA0107" w:rsidRPr="005E7F03">
              <w:t>SOPs</w:t>
            </w:r>
            <w:r w:rsidRPr="005E7F03">
              <w:t xml:space="preserve"> developed by CATALIS Network</w:t>
            </w:r>
          </w:p>
        </w:tc>
        <w:tc>
          <w:tcPr>
            <w:tcW w:w="2206" w:type="dxa"/>
          </w:tcPr>
          <w:p w14:paraId="0EBF2714" w14:textId="0B8C428C" w:rsidR="0030269A" w:rsidRPr="005E7F03" w:rsidRDefault="007904C8" w:rsidP="00BB1A94">
            <w:pPr>
              <w:spacing w:before="60" w:after="60"/>
              <w:jc w:val="center"/>
            </w:pPr>
            <w:r w:rsidRPr="005E7F03">
              <w:t>2023-05-01</w:t>
            </w:r>
          </w:p>
        </w:tc>
      </w:tr>
      <w:tr w:rsidR="005A11F5" w:rsidRPr="005E7F03" w14:paraId="7BA8FA29" w14:textId="77777777" w:rsidTr="00012A3D">
        <w:tc>
          <w:tcPr>
            <w:tcW w:w="3325" w:type="dxa"/>
          </w:tcPr>
          <w:p w14:paraId="12D8C04D" w14:textId="77777777" w:rsidR="005A11F5" w:rsidRPr="005E7F03" w:rsidRDefault="005A11F5" w:rsidP="00BB1A94">
            <w:pPr>
              <w:spacing w:before="60" w:after="60"/>
              <w:rPr>
                <w:b/>
                <w:i/>
                <w:highlight w:val="yellow"/>
              </w:rPr>
            </w:pPr>
            <w:r w:rsidRPr="005E7F03">
              <w:rPr>
                <w:b/>
                <w:i/>
              </w:rPr>
              <w:t>Approved</w:t>
            </w:r>
          </w:p>
        </w:tc>
        <w:tc>
          <w:tcPr>
            <w:tcW w:w="4467" w:type="dxa"/>
          </w:tcPr>
          <w:p w14:paraId="2055F8A8" w14:textId="305006DA" w:rsidR="005A11F5" w:rsidRPr="005E7F03" w:rsidRDefault="00CA0107" w:rsidP="00BB1A94">
            <w:pPr>
              <w:spacing w:before="60" w:after="60"/>
            </w:pPr>
            <w:r w:rsidRPr="005E7F03">
              <w:t>REB Full Board Meeting XXX</w:t>
            </w:r>
          </w:p>
        </w:tc>
        <w:tc>
          <w:tcPr>
            <w:tcW w:w="2206" w:type="dxa"/>
          </w:tcPr>
          <w:p w14:paraId="1D30FEBA" w14:textId="77777777" w:rsidR="005A11F5" w:rsidRPr="005E7F03" w:rsidRDefault="005A11F5" w:rsidP="00BB1A94">
            <w:pPr>
              <w:spacing w:before="60" w:after="60"/>
              <w:jc w:val="center"/>
            </w:pPr>
            <w:r w:rsidRPr="005E7F03">
              <w:t>YYYY-MM-DD</w:t>
            </w:r>
          </w:p>
        </w:tc>
      </w:tr>
      <w:tr w:rsidR="005A11F5" w:rsidRPr="005E7F03" w14:paraId="3DB52E97" w14:textId="77777777" w:rsidTr="00012A3D">
        <w:tc>
          <w:tcPr>
            <w:tcW w:w="3325" w:type="dxa"/>
          </w:tcPr>
          <w:p w14:paraId="1C91F9DF" w14:textId="72216A9A" w:rsidR="005A11F5" w:rsidRPr="005E7F03" w:rsidRDefault="007904C8" w:rsidP="00BB1A94">
            <w:pPr>
              <w:spacing w:before="60" w:after="60"/>
              <w:rPr>
                <w:b/>
                <w:i/>
                <w:highlight w:val="yellow"/>
              </w:rPr>
            </w:pPr>
            <w:r w:rsidRPr="005E7F03">
              <w:rPr>
                <w:b/>
                <w:i/>
              </w:rPr>
              <w:t>[Approved] or [</w:t>
            </w:r>
            <w:r w:rsidR="005A11F5" w:rsidRPr="005E7F03">
              <w:rPr>
                <w:b/>
                <w:i/>
              </w:rPr>
              <w:t>Acknowledge receipt</w:t>
            </w:r>
            <w:r w:rsidRPr="005E7F03">
              <w:rPr>
                <w:b/>
                <w:i/>
              </w:rPr>
              <w:t>]</w:t>
            </w:r>
          </w:p>
        </w:tc>
        <w:tc>
          <w:tcPr>
            <w:tcW w:w="4467" w:type="dxa"/>
          </w:tcPr>
          <w:p w14:paraId="272BA6F8" w14:textId="11C877C6" w:rsidR="005A11F5" w:rsidRPr="005E7F03" w:rsidRDefault="00E428CC" w:rsidP="00BB1A94">
            <w:pPr>
              <w:spacing w:before="60" w:after="60"/>
            </w:pPr>
            <w:r w:rsidRPr="005E7F03">
              <w:t xml:space="preserve">CA </w:t>
            </w:r>
            <w:r w:rsidR="005A11F5" w:rsidRPr="005E7F03">
              <w:t>XXX</w:t>
            </w:r>
          </w:p>
        </w:tc>
        <w:tc>
          <w:tcPr>
            <w:tcW w:w="2206" w:type="dxa"/>
          </w:tcPr>
          <w:p w14:paraId="50B15275" w14:textId="77777777" w:rsidR="005A11F5" w:rsidRPr="005E7F03" w:rsidRDefault="005A11F5" w:rsidP="00BB1A94">
            <w:pPr>
              <w:spacing w:before="60" w:after="60"/>
              <w:jc w:val="center"/>
            </w:pPr>
            <w:r w:rsidRPr="005E7F03">
              <w:t>YYYY-MM-DD</w:t>
            </w:r>
          </w:p>
        </w:tc>
      </w:tr>
    </w:tbl>
    <w:p w14:paraId="6AC939C2" w14:textId="77777777" w:rsidR="002E18ED" w:rsidRPr="005E7F03" w:rsidRDefault="002E18ED" w:rsidP="00BB1A94">
      <w:pPr>
        <w:rPr>
          <w:b/>
        </w:rPr>
      </w:pPr>
    </w:p>
    <w:p w14:paraId="44B9BEB0" w14:textId="77777777" w:rsidR="0030269A" w:rsidRPr="005E7F03" w:rsidRDefault="0030269A" w:rsidP="00BB1A94">
      <w:pPr>
        <w:rPr>
          <w:b/>
        </w:rPr>
      </w:pPr>
      <w:r w:rsidRPr="005E7F03">
        <w:rPr>
          <w:b/>
        </w:rPr>
        <w:t>Table of Content</w:t>
      </w:r>
    </w:p>
    <w:p w14:paraId="47106547" w14:textId="60D9998F" w:rsidR="003C1F69" w:rsidRDefault="0030269A">
      <w:pPr>
        <w:pStyle w:val="TM1"/>
        <w:rPr>
          <w:kern w:val="2"/>
          <w:sz w:val="22"/>
          <w:szCs w:val="22"/>
          <w:lang w:val="fr-CA" w:eastAsia="fr-CA"/>
          <w14:ligatures w14:val="standardContextual"/>
        </w:rPr>
      </w:pPr>
      <w:r w:rsidRPr="005E7F03">
        <w:rPr>
          <w:noProof w:val="0"/>
        </w:rPr>
        <w:fldChar w:fldCharType="begin"/>
      </w:r>
      <w:r w:rsidRPr="005E7F03">
        <w:rPr>
          <w:noProof w:val="0"/>
        </w:rPr>
        <w:instrText xml:space="preserve"> TOC \o "1-2" \u </w:instrText>
      </w:r>
      <w:r w:rsidRPr="005E7F03">
        <w:rPr>
          <w:noProof w:val="0"/>
        </w:rPr>
        <w:fldChar w:fldCharType="separate"/>
      </w:r>
      <w:r w:rsidR="003C1F69">
        <w:t>1</w:t>
      </w:r>
      <w:r w:rsidR="003C1F69">
        <w:rPr>
          <w:kern w:val="2"/>
          <w:sz w:val="22"/>
          <w:szCs w:val="22"/>
          <w:lang w:val="fr-CA" w:eastAsia="fr-CA"/>
          <w14:ligatures w14:val="standardContextual"/>
        </w:rPr>
        <w:tab/>
      </w:r>
      <w:r w:rsidR="003C1F69">
        <w:t>Purpose</w:t>
      </w:r>
      <w:r w:rsidR="003C1F69">
        <w:tab/>
      </w:r>
      <w:r w:rsidR="003C1F69">
        <w:fldChar w:fldCharType="begin"/>
      </w:r>
      <w:r w:rsidR="003C1F69">
        <w:instrText xml:space="preserve"> PAGEREF _Toc151476994 \h </w:instrText>
      </w:r>
      <w:r w:rsidR="003C1F69">
        <w:fldChar w:fldCharType="separate"/>
      </w:r>
      <w:r w:rsidR="003C1F69">
        <w:t>1</w:t>
      </w:r>
      <w:r w:rsidR="003C1F69">
        <w:fldChar w:fldCharType="end"/>
      </w:r>
    </w:p>
    <w:p w14:paraId="5B0A2843" w14:textId="2C56B10A" w:rsidR="003C1F69" w:rsidRDefault="003C1F69">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_Toc151476995 \h </w:instrText>
      </w:r>
      <w:r>
        <w:fldChar w:fldCharType="separate"/>
      </w:r>
      <w:r>
        <w:t>2</w:t>
      </w:r>
      <w:r>
        <w:fldChar w:fldCharType="end"/>
      </w:r>
    </w:p>
    <w:p w14:paraId="2FB77984" w14:textId="1E45BFA4" w:rsidR="003C1F69" w:rsidRDefault="003C1F69">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_Toc151476996 \h </w:instrText>
      </w:r>
      <w:r>
        <w:fldChar w:fldCharType="separate"/>
      </w:r>
      <w:r>
        <w:t>2</w:t>
      </w:r>
      <w:r>
        <w:fldChar w:fldCharType="end"/>
      </w:r>
    </w:p>
    <w:p w14:paraId="2CBD9B5D" w14:textId="647E7A95" w:rsidR="003C1F69" w:rsidRDefault="003C1F69">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_Toc151476997 \h </w:instrText>
      </w:r>
      <w:r>
        <w:fldChar w:fldCharType="separate"/>
      </w:r>
      <w:r>
        <w:t>2</w:t>
      </w:r>
      <w:r>
        <w:fldChar w:fldCharType="end"/>
      </w:r>
    </w:p>
    <w:p w14:paraId="00FE1389" w14:textId="0874860A" w:rsidR="003C1F69" w:rsidRDefault="003C1F69">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_Toc151476998 \h </w:instrText>
      </w:r>
      <w:r>
        <w:fldChar w:fldCharType="separate"/>
      </w:r>
      <w:r>
        <w:t>2</w:t>
      </w:r>
      <w:r>
        <w:fldChar w:fldCharType="end"/>
      </w:r>
    </w:p>
    <w:p w14:paraId="2E400C98" w14:textId="21801446" w:rsidR="003C1F69" w:rsidRDefault="003C1F69">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Determination of Qualification for Delegated Review</w:t>
      </w:r>
      <w:r>
        <w:tab/>
      </w:r>
      <w:r>
        <w:fldChar w:fldCharType="begin"/>
      </w:r>
      <w:r>
        <w:instrText xml:space="preserve"> PAGEREF _Toc151476999 \h </w:instrText>
      </w:r>
      <w:r>
        <w:fldChar w:fldCharType="separate"/>
      </w:r>
      <w:r>
        <w:t>3</w:t>
      </w:r>
      <w:r>
        <w:fldChar w:fldCharType="end"/>
      </w:r>
    </w:p>
    <w:p w14:paraId="6A2FE1EF" w14:textId="3A8F49FF" w:rsidR="003C1F69" w:rsidRDefault="003C1F69">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Delegated Review Process</w:t>
      </w:r>
      <w:r>
        <w:tab/>
      </w:r>
      <w:r>
        <w:fldChar w:fldCharType="begin"/>
      </w:r>
      <w:r>
        <w:instrText xml:space="preserve"> PAGEREF _Toc151477000 \h </w:instrText>
      </w:r>
      <w:r>
        <w:fldChar w:fldCharType="separate"/>
      </w:r>
      <w:r>
        <w:t>4</w:t>
      </w:r>
      <w:r>
        <w:fldChar w:fldCharType="end"/>
      </w:r>
    </w:p>
    <w:p w14:paraId="49FB7470" w14:textId="4FCBDD62" w:rsidR="003C1F69" w:rsidRDefault="003C1F69">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Notification of the REB</w:t>
      </w:r>
      <w:r>
        <w:tab/>
      </w:r>
      <w:r>
        <w:fldChar w:fldCharType="begin"/>
      </w:r>
      <w:r>
        <w:instrText xml:space="preserve"> PAGEREF _Toc151477001 \h </w:instrText>
      </w:r>
      <w:r>
        <w:fldChar w:fldCharType="separate"/>
      </w:r>
      <w:r>
        <w:t>5</w:t>
      </w:r>
      <w:r>
        <w:fldChar w:fldCharType="end"/>
      </w:r>
    </w:p>
    <w:p w14:paraId="4EAED057" w14:textId="5E828027" w:rsidR="003C1F69" w:rsidRDefault="003C1F69">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Documentation</w:t>
      </w:r>
      <w:r>
        <w:tab/>
      </w:r>
      <w:r>
        <w:fldChar w:fldCharType="begin"/>
      </w:r>
      <w:r>
        <w:instrText xml:space="preserve"> PAGEREF _Toc151477002 \h </w:instrText>
      </w:r>
      <w:r>
        <w:fldChar w:fldCharType="separate"/>
      </w:r>
      <w:r>
        <w:t>5</w:t>
      </w:r>
      <w:r>
        <w:fldChar w:fldCharType="end"/>
      </w:r>
    </w:p>
    <w:p w14:paraId="237B89C6" w14:textId="1FE41726" w:rsidR="003C1F69" w:rsidRDefault="003C1F69">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_Toc151477003 \h </w:instrText>
      </w:r>
      <w:r>
        <w:fldChar w:fldCharType="separate"/>
      </w:r>
      <w:r>
        <w:t>5</w:t>
      </w:r>
      <w:r>
        <w:fldChar w:fldCharType="end"/>
      </w:r>
    </w:p>
    <w:p w14:paraId="5561478C" w14:textId="68AE37CE" w:rsidR="003C1F69" w:rsidRDefault="003C1F69">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_Toc151477004 \h </w:instrText>
      </w:r>
      <w:r>
        <w:fldChar w:fldCharType="separate"/>
      </w:r>
      <w:r>
        <w:t>5</w:t>
      </w:r>
      <w:r>
        <w:fldChar w:fldCharType="end"/>
      </w:r>
    </w:p>
    <w:p w14:paraId="10029ECD" w14:textId="2D1C5FA0" w:rsidR="003C1F69" w:rsidRDefault="003C1F69">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_Toc151477005 \h </w:instrText>
      </w:r>
      <w:r>
        <w:fldChar w:fldCharType="separate"/>
      </w:r>
      <w:r>
        <w:t>5</w:t>
      </w:r>
      <w:r>
        <w:fldChar w:fldCharType="end"/>
      </w:r>
    </w:p>
    <w:p w14:paraId="690CBCEC" w14:textId="4F92E940" w:rsidR="002B5BA5" w:rsidRPr="005E7F03" w:rsidRDefault="0030269A" w:rsidP="00BB1A94">
      <w:r w:rsidRPr="005E7F03">
        <w:rPr>
          <w:rFonts w:eastAsiaTheme="minorEastAsia" w:cstheme="minorHAnsi"/>
          <w:lang w:eastAsia="fr-FR"/>
        </w:rPr>
        <w:fldChar w:fldCharType="end"/>
      </w:r>
    </w:p>
    <w:p w14:paraId="28B8A7B1" w14:textId="77777777" w:rsidR="00B66BD6" w:rsidRPr="005E7F03" w:rsidRDefault="00756C58" w:rsidP="00BB1A94">
      <w:pPr>
        <w:pStyle w:val="Titre1"/>
        <w:widowControl/>
      </w:pPr>
      <w:bookmarkStart w:id="0" w:name="_Toc151476994"/>
      <w:r w:rsidRPr="005E7F03">
        <w:t>Purpose</w:t>
      </w:r>
      <w:bookmarkEnd w:id="0"/>
    </w:p>
    <w:p w14:paraId="4F05F1BD" w14:textId="77777777" w:rsidR="002E18ED" w:rsidRPr="005E7F03" w:rsidRDefault="00CA0107" w:rsidP="00BB1A94">
      <w:r w:rsidRPr="005E7F03">
        <w:t>This standard operating procedure (SOP) describes the processes for determining when research meets the criteria for delegated ethics review and the associated delegated review procedures.</w:t>
      </w:r>
    </w:p>
    <w:p w14:paraId="3217C198" w14:textId="77777777" w:rsidR="00756C58" w:rsidRPr="005E7F03" w:rsidRDefault="00756C58" w:rsidP="00BB1A94">
      <w:pPr>
        <w:pStyle w:val="Titre1"/>
        <w:widowControl/>
      </w:pPr>
      <w:bookmarkStart w:id="1" w:name="_Toc151476995"/>
      <w:r w:rsidRPr="005E7F03">
        <w:lastRenderedPageBreak/>
        <w:t>Scope</w:t>
      </w:r>
      <w:bookmarkEnd w:id="1"/>
    </w:p>
    <w:p w14:paraId="546AA734" w14:textId="77777777" w:rsidR="002E18ED" w:rsidRPr="005E7F03" w:rsidRDefault="00CA0107" w:rsidP="00BB1A94">
      <w:r w:rsidRPr="005E7F03">
        <w:t xml:space="preserve">This SOP pertains to Research Ethics Boards (REB) that review human participant research in compliance with applicable regulations and guidelines. </w:t>
      </w:r>
    </w:p>
    <w:p w14:paraId="1A9D5E91" w14:textId="77777777" w:rsidR="00756C58" w:rsidRPr="005E7F03" w:rsidRDefault="002E18ED" w:rsidP="00BB1A94">
      <w:pPr>
        <w:pStyle w:val="Titre1"/>
        <w:widowControl/>
      </w:pPr>
      <w:bookmarkStart w:id="2" w:name="_Toc151476996"/>
      <w:r w:rsidRPr="005E7F03">
        <w:t>R</w:t>
      </w:r>
      <w:r w:rsidR="00756C58" w:rsidRPr="005E7F03">
        <w:t>esponsibilities</w:t>
      </w:r>
      <w:bookmarkEnd w:id="2"/>
    </w:p>
    <w:p w14:paraId="2241B100" w14:textId="77777777" w:rsidR="00CA0107" w:rsidRPr="005E7F03" w:rsidRDefault="00CA0107" w:rsidP="00BB1A94">
      <w:r w:rsidRPr="005E7F03">
        <w:t>All REB members and designated REB staff are responsible for ensuring that the requirements of this SOP are met.</w:t>
      </w:r>
    </w:p>
    <w:p w14:paraId="4D301C0D" w14:textId="77777777" w:rsidR="00CA0107" w:rsidRPr="005E7F03" w:rsidRDefault="00CA0107" w:rsidP="00BB1A94">
      <w:r w:rsidRPr="005E7F03">
        <w:t>The REB Chair or designee is responsible for determining if research is eligible for delegated review. In some circumstances, the REB Chair or designee may delegate this task to qualified REB Support Staff; however, the responsibility for oversight remains with the REB Chair or designee.</w:t>
      </w:r>
      <w:r w:rsidRPr="005E7F03">
        <w:rPr>
          <w:rStyle w:val="Appelnotedebasdep"/>
        </w:rPr>
        <w:footnoteReference w:id="1"/>
      </w:r>
      <w:r w:rsidRPr="005E7F03">
        <w:t xml:space="preserve"> </w:t>
      </w:r>
    </w:p>
    <w:p w14:paraId="49B0EA66" w14:textId="77777777" w:rsidR="002E18ED" w:rsidRPr="005E7F03" w:rsidRDefault="00CA0107" w:rsidP="00BB1A94">
      <w:r w:rsidRPr="005E7F03">
        <w:t>The REB Chair or designee or qualified REB member(s) is responsible for conducting the delegated review.</w:t>
      </w:r>
    </w:p>
    <w:p w14:paraId="231D366E" w14:textId="77777777" w:rsidR="00756C58" w:rsidRPr="005E7F03" w:rsidRDefault="002E18ED" w:rsidP="00BB1A94">
      <w:pPr>
        <w:pStyle w:val="Titre1"/>
        <w:widowControl/>
      </w:pPr>
      <w:bookmarkStart w:id="4" w:name="_Toc151476997"/>
      <w:r w:rsidRPr="005E7F03">
        <w:t>D</w:t>
      </w:r>
      <w:r w:rsidR="00756C58" w:rsidRPr="005E7F03">
        <w:t>efinitions</w:t>
      </w:r>
      <w:bookmarkEnd w:id="4"/>
    </w:p>
    <w:p w14:paraId="32BDD89A" w14:textId="77777777" w:rsidR="002E18ED" w:rsidRPr="005E7F03" w:rsidRDefault="00A313CE" w:rsidP="00BB1A94">
      <w:r w:rsidRPr="005E7F03">
        <w:t>See Glossary of Terms.</w:t>
      </w:r>
    </w:p>
    <w:p w14:paraId="382B6017" w14:textId="77777777" w:rsidR="00756C58" w:rsidRPr="005E7F03" w:rsidRDefault="002E18ED" w:rsidP="00BB1A94">
      <w:pPr>
        <w:pStyle w:val="Titre1"/>
        <w:widowControl/>
      </w:pPr>
      <w:bookmarkStart w:id="5" w:name="_Toc151476998"/>
      <w:r w:rsidRPr="005E7F03">
        <w:t>P</w:t>
      </w:r>
      <w:r w:rsidR="00756C58" w:rsidRPr="005E7F03">
        <w:t>rocedures</w:t>
      </w:r>
      <w:bookmarkEnd w:id="5"/>
    </w:p>
    <w:p w14:paraId="73122B84" w14:textId="77777777" w:rsidR="00CA0107" w:rsidRPr="005E7F03" w:rsidRDefault="00CA0107" w:rsidP="00BB1A94">
      <w:r w:rsidRPr="005E7F03">
        <w:t>REBs should adopt a proportionate approach to ethics assessment based on the general principle that the more invasive or harmful the proposed and ongoing research, the greater should be the care in assessing the research.</w:t>
      </w:r>
      <w:r w:rsidRPr="005E7F03">
        <w:rPr>
          <w:rStyle w:val="Appelnotedebasdep"/>
        </w:rPr>
        <w:footnoteReference w:id="2"/>
      </w:r>
      <w:r w:rsidR="00CA73D9" w:rsidRPr="005E7F03">
        <w:t xml:space="preserve"> </w:t>
      </w:r>
      <w:r w:rsidRPr="005E7F03">
        <w:t>In all cases, proportionate review implies a consideration of foreseeable risks, potential benefits, and ethical implications of the research in question.</w:t>
      </w:r>
      <w:r w:rsidRPr="005E7F03">
        <w:rPr>
          <w:rStyle w:val="Appelnotedebasdep"/>
        </w:rPr>
        <w:footnoteReference w:id="3"/>
      </w:r>
      <w:r w:rsidR="00CA73D9" w:rsidRPr="005E7F03">
        <w:t xml:space="preserve"> </w:t>
      </w:r>
    </w:p>
    <w:p w14:paraId="1B1C6D01" w14:textId="77777777" w:rsidR="00CA0107" w:rsidRPr="005E7F03" w:rsidRDefault="00CA0107" w:rsidP="00BB1A94">
      <w:r w:rsidRPr="005E7F03">
        <w:t>In practice, the proportionate review implies different levels of REB review for different research projects. The two levels typical used by REBs are Full Board review or delegated review by one or more experienced REB members, as determined by the REB Chair or designee.</w:t>
      </w:r>
      <w:r w:rsidRPr="005E7F03">
        <w:rPr>
          <w:rStyle w:val="Appelnotedebasdep"/>
        </w:rPr>
        <w:footnoteReference w:id="4"/>
      </w:r>
      <w:r w:rsidRPr="005E7F03">
        <w:t xml:space="preserve"> </w:t>
      </w:r>
    </w:p>
    <w:p w14:paraId="2C8E7131" w14:textId="77777777" w:rsidR="00CA0107" w:rsidRPr="005E7F03" w:rsidRDefault="00CA0107" w:rsidP="00BB1A94">
      <w:r w:rsidRPr="005E7F03">
        <w:t>Approval is effective as of the date of REB approval (final or initial, according to local REB procedure).</w:t>
      </w:r>
      <w:r w:rsidR="00CA73D9" w:rsidRPr="005E7F03">
        <w:rPr>
          <w:rStyle w:val="Appelnotedebasdep"/>
        </w:rPr>
        <w:footnoteReference w:id="5"/>
      </w:r>
      <w:r w:rsidRPr="005E7F03">
        <w:t xml:space="preserve"> It is effective for at most one year from this date. The letter of approval, however, is not issued until all the conditions for approval have been met.</w:t>
      </w:r>
    </w:p>
    <w:p w14:paraId="6F99369F" w14:textId="77777777" w:rsidR="002E18ED" w:rsidRPr="005E7F03" w:rsidRDefault="00CA0107" w:rsidP="00BB1A94">
      <w:r w:rsidRPr="005E7F03">
        <w:t>If the research cannot be approved by delegated review, a Full Board Review will be done.</w:t>
      </w:r>
    </w:p>
    <w:p w14:paraId="63D15916" w14:textId="77777777" w:rsidR="00CA0107" w:rsidRPr="005E7F03" w:rsidRDefault="00CA0107" w:rsidP="00BB1A94">
      <w:pPr>
        <w:pStyle w:val="Titre2"/>
        <w:widowControl/>
      </w:pPr>
      <w:bookmarkStart w:id="6" w:name="_Toc151476999"/>
      <w:r w:rsidRPr="005E7F03">
        <w:lastRenderedPageBreak/>
        <w:t>Determination of Qualification for Delegated Review</w:t>
      </w:r>
      <w:bookmarkEnd w:id="6"/>
    </w:p>
    <w:p w14:paraId="71538D69" w14:textId="77777777" w:rsidR="00CA0107" w:rsidRPr="005E7F03" w:rsidRDefault="00CA0107" w:rsidP="00BB1A94">
      <w:pPr>
        <w:pStyle w:val="Titre3"/>
        <w:widowControl/>
      </w:pPr>
      <w:r w:rsidRPr="005E7F03">
        <w:t>Full Board review is the default option</w:t>
      </w:r>
      <w:r w:rsidR="00CA73D9" w:rsidRPr="005E7F03">
        <w:rPr>
          <w:rStyle w:val="Appelnotedebasdep"/>
        </w:rPr>
        <w:footnoteReference w:id="6"/>
      </w:r>
      <w:r w:rsidRPr="005E7F03">
        <w:t>;</w:t>
      </w:r>
    </w:p>
    <w:p w14:paraId="1430D426" w14:textId="77777777" w:rsidR="00CA0107" w:rsidRPr="005E7F03" w:rsidRDefault="00CA0107" w:rsidP="00BB1A94">
      <w:pPr>
        <w:pStyle w:val="Titre3"/>
        <w:widowControl/>
      </w:pPr>
      <w:r w:rsidRPr="005E7F03">
        <w:t xml:space="preserve">New research projects that fall under Article 21 of the </w:t>
      </w:r>
      <w:r w:rsidRPr="005E7F03">
        <w:rPr>
          <w:i/>
          <w:iCs/>
        </w:rPr>
        <w:t>Civil Code of Québec</w:t>
      </w:r>
      <w:r w:rsidR="00CA73D9" w:rsidRPr="005E7F03">
        <w:rPr>
          <w:rStyle w:val="Appelnotedebasdep"/>
        </w:rPr>
        <w:footnoteReference w:id="7"/>
      </w:r>
      <w:r w:rsidR="00CA73D9" w:rsidRPr="005E7F03">
        <w:t xml:space="preserve"> </w:t>
      </w:r>
      <w:r w:rsidRPr="005E7F03">
        <w:t>cannot be evaluated by delegated review at the time of initial REB review</w:t>
      </w:r>
      <w:r w:rsidR="00CA73D9" w:rsidRPr="005E7F03">
        <w:rPr>
          <w:rStyle w:val="Appelnotedebasdep"/>
        </w:rPr>
        <w:footnoteReference w:id="8"/>
      </w:r>
      <w:r w:rsidRPr="005E7F03">
        <w:t>;</w:t>
      </w:r>
    </w:p>
    <w:p w14:paraId="4164C0E3" w14:textId="77777777" w:rsidR="00CA0107" w:rsidRPr="005E7F03" w:rsidRDefault="00CA0107" w:rsidP="00BB1A94">
      <w:pPr>
        <w:pStyle w:val="Titre3"/>
        <w:widowControl/>
      </w:pPr>
      <w:r w:rsidRPr="005E7F03">
        <w:t>Submissions that meet the following criteria are eligible for delegated review:</w:t>
      </w:r>
    </w:p>
    <w:p w14:paraId="51488966" w14:textId="001A628D" w:rsidR="00CA0107" w:rsidRPr="005E7F03" w:rsidRDefault="00CA0107" w:rsidP="00816430">
      <w:pPr>
        <w:pStyle w:val="SOPBulletC"/>
      </w:pPr>
      <w:r w:rsidRPr="005E7F03">
        <w:t>Research projects that involve no more than minimal risk,</w:t>
      </w:r>
      <w:r w:rsidR="00CA73D9" w:rsidRPr="005E7F03">
        <w:rPr>
          <w:rStyle w:val="Appelnotedebasdep"/>
        </w:rPr>
        <w:footnoteReference w:id="9"/>
      </w:r>
    </w:p>
    <w:p w14:paraId="66CBEC16" w14:textId="0E0CC987" w:rsidR="00CA0107" w:rsidRPr="005E7F03" w:rsidRDefault="00CA0107" w:rsidP="00BB1A94">
      <w:pPr>
        <w:pStyle w:val="SOPBulletC"/>
      </w:pPr>
      <w:r w:rsidRPr="005E7F03">
        <w:t>Research projects that do not interfere with the integrity</w:t>
      </w:r>
      <w:r w:rsidR="00CA73D9" w:rsidRPr="005E7F03">
        <w:t xml:space="preserve"> </w:t>
      </w:r>
      <w:r w:rsidRPr="005E7F03">
        <w:t>of a minor or of a person of full age incapable of giving consent,</w:t>
      </w:r>
      <w:r w:rsidR="00CA73D9" w:rsidRPr="005E7F03">
        <w:rPr>
          <w:rStyle w:val="Appelnotedebasdep"/>
        </w:rPr>
        <w:footnoteReference w:id="10"/>
      </w:r>
    </w:p>
    <w:p w14:paraId="382D069F" w14:textId="77777777" w:rsidR="00CA0107" w:rsidRPr="005E7F03" w:rsidRDefault="00CA0107" w:rsidP="00BB1A94">
      <w:pPr>
        <w:pStyle w:val="SOPBulletC"/>
      </w:pPr>
      <w:r w:rsidRPr="005E7F03">
        <w:t>Changes to approved research that have no impact on the risk/benefit ratio,</w:t>
      </w:r>
      <w:r w:rsidR="00CA73D9" w:rsidRPr="005E7F03">
        <w:rPr>
          <w:rStyle w:val="Appelnotedebasdep"/>
        </w:rPr>
        <w:footnoteReference w:id="11"/>
      </w:r>
    </w:p>
    <w:p w14:paraId="3263DA8E" w14:textId="77777777" w:rsidR="00CA0107" w:rsidRPr="005E7F03" w:rsidRDefault="00CA0107" w:rsidP="00BB1A94">
      <w:pPr>
        <w:pStyle w:val="SOPBulletC"/>
      </w:pPr>
      <w:r w:rsidRPr="005E7F03">
        <w:t>Annual renewal of ethics approval, when authorized in accordance with applicable rules and regulations,</w:t>
      </w:r>
      <w:r w:rsidR="00CA73D9" w:rsidRPr="005E7F03">
        <w:rPr>
          <w:rStyle w:val="Appelnotedebasdep"/>
        </w:rPr>
        <w:footnoteReference w:id="12"/>
      </w:r>
      <w:r w:rsidR="00CA73D9" w:rsidRPr="005E7F03">
        <w:t xml:space="preserve"> </w:t>
      </w:r>
      <w:r w:rsidRPr="005E7F03">
        <w:t xml:space="preserve">for the following: </w:t>
      </w:r>
    </w:p>
    <w:p w14:paraId="3BC4366E" w14:textId="77777777" w:rsidR="00CA0107" w:rsidRPr="005E7F03" w:rsidRDefault="00CA0107" w:rsidP="00BB1A94">
      <w:pPr>
        <w:pStyle w:val="SOPBulletD"/>
      </w:pPr>
      <w:r w:rsidRPr="005E7F03">
        <w:t>approved minimal risk research,</w:t>
      </w:r>
      <w:r w:rsidR="00CA73D9" w:rsidRPr="005E7F03">
        <w:rPr>
          <w:rStyle w:val="Appelnotedebasdep"/>
        </w:rPr>
        <w:footnoteReference w:id="13"/>
      </w:r>
    </w:p>
    <w:p w14:paraId="7168E051" w14:textId="77777777" w:rsidR="00CA0107" w:rsidRPr="005E7F03" w:rsidRDefault="00CA0107" w:rsidP="00BB1A94">
      <w:pPr>
        <w:pStyle w:val="SOPBulletD"/>
      </w:pPr>
      <w:r w:rsidRPr="005E7F03">
        <w:t>research that is more than minimal risk for which enrolment is closed permanently and all research-related interventions for all participants are complete,</w:t>
      </w:r>
      <w:r w:rsidR="00CA73D9" w:rsidRPr="005E7F03">
        <w:rPr>
          <w:rStyle w:val="Appelnotedebasdep"/>
        </w:rPr>
        <w:footnoteReference w:id="14"/>
      </w:r>
    </w:p>
    <w:p w14:paraId="5F7272C5" w14:textId="77777777" w:rsidR="00CA0107" w:rsidRPr="005E7F03" w:rsidRDefault="00CA0107" w:rsidP="00BB1A94">
      <w:pPr>
        <w:pStyle w:val="SOPBulletD"/>
      </w:pPr>
      <w:r w:rsidRPr="005E7F03">
        <w:t>research that is more than minimal risk, where the remaining research activities are limited to data analysis,</w:t>
      </w:r>
    </w:p>
    <w:p w14:paraId="44A9C669" w14:textId="77777777" w:rsidR="00CA0107" w:rsidRPr="005E7F03" w:rsidRDefault="00CA0107" w:rsidP="00BB1A94">
      <w:pPr>
        <w:pStyle w:val="SOPBulletD"/>
      </w:pPr>
      <w:r w:rsidRPr="005E7F03">
        <w:t>research that is more than minimal risk, where no participants have been enrolled and no additional risks have been identified,</w:t>
      </w:r>
    </w:p>
    <w:p w14:paraId="402D71A0" w14:textId="77777777" w:rsidR="00CA0107" w:rsidRPr="005E7F03" w:rsidRDefault="00CA0107" w:rsidP="00BB1A94">
      <w:pPr>
        <w:pStyle w:val="SOPBulletD"/>
      </w:pPr>
      <w:r w:rsidRPr="005E7F03">
        <w:t>research that is more than minimal risk when there has been little or no modification of the research, or</w:t>
      </w:r>
    </w:p>
    <w:p w14:paraId="2A6CEBE8" w14:textId="77777777" w:rsidR="00CA0107" w:rsidRPr="005E7F03" w:rsidRDefault="00CA0107" w:rsidP="00BB1A94">
      <w:pPr>
        <w:pStyle w:val="SOPBulletD"/>
      </w:pPr>
      <w:r w:rsidRPr="005E7F03">
        <w:t xml:space="preserve">research that is more than minimal risk and when there has been no increase in risk to or other ethical implications for participants since the initial review by the full </w:t>
      </w:r>
      <w:proofErr w:type="gramStart"/>
      <w:r w:rsidRPr="005E7F03">
        <w:t>REB;</w:t>
      </w:r>
      <w:proofErr w:type="gramEnd"/>
    </w:p>
    <w:p w14:paraId="2FA2E286" w14:textId="77777777" w:rsidR="00CA0107" w:rsidRPr="005E7F03" w:rsidRDefault="00CA0107" w:rsidP="00BB1A94">
      <w:pPr>
        <w:pStyle w:val="SOPBulletC"/>
      </w:pPr>
      <w:r w:rsidRPr="005E7F03">
        <w:t>The response by the Researcher to REB requests for modifications and/or clarifications, unless otherwise stated by the REB,</w:t>
      </w:r>
    </w:p>
    <w:p w14:paraId="16D8EDD9" w14:textId="77777777" w:rsidR="00CA0107" w:rsidRPr="005E7F03" w:rsidRDefault="00CA0107" w:rsidP="00BB1A94">
      <w:pPr>
        <w:pStyle w:val="SOPBulletC"/>
      </w:pPr>
      <w:r w:rsidRPr="005E7F03">
        <w:lastRenderedPageBreak/>
        <w:t xml:space="preserve">Changes to consent documents that do not affect the rights and welfare of research participants or involve increased risk, or affect data integrity, or require significant changes in research </w:t>
      </w:r>
      <w:proofErr w:type="gramStart"/>
      <w:r w:rsidRPr="005E7F03">
        <w:t>procedures;</w:t>
      </w:r>
      <w:proofErr w:type="gramEnd"/>
    </w:p>
    <w:p w14:paraId="1B295608" w14:textId="77777777" w:rsidR="00CA73D9" w:rsidRPr="005E7F03" w:rsidRDefault="00CA73D9" w:rsidP="00BB1A94">
      <w:pPr>
        <w:pStyle w:val="Titre3"/>
        <w:widowControl/>
      </w:pPr>
      <w:r w:rsidRPr="005E7F03">
        <w:rPr>
          <w:spacing w:val="-1"/>
        </w:rPr>
        <w:t>R</w:t>
      </w:r>
      <w:r w:rsidRPr="005E7F03">
        <w:rPr>
          <w:spacing w:val="1"/>
        </w:rPr>
        <w:t>epo</w:t>
      </w:r>
      <w:r w:rsidRPr="005E7F03">
        <w:rPr>
          <w:spacing w:val="-1"/>
        </w:rPr>
        <w:t>r</w:t>
      </w:r>
      <w:r w:rsidRPr="005E7F03">
        <w:t>t</w:t>
      </w:r>
      <w:r w:rsidRPr="005E7F03">
        <w:rPr>
          <w:spacing w:val="-2"/>
        </w:rPr>
        <w:t>a</w:t>
      </w:r>
      <w:r w:rsidRPr="005E7F03">
        <w:rPr>
          <w:spacing w:val="1"/>
        </w:rPr>
        <w:t>b</w:t>
      </w:r>
      <w:r w:rsidRPr="005E7F03">
        <w:rPr>
          <w:spacing w:val="-1"/>
        </w:rPr>
        <w:t>l</w:t>
      </w:r>
      <w:r w:rsidRPr="005E7F03">
        <w:t>e</w:t>
      </w:r>
      <w:r w:rsidRPr="005E7F03">
        <w:rPr>
          <w:spacing w:val="-8"/>
        </w:rPr>
        <w:t xml:space="preserve"> </w:t>
      </w:r>
      <w:r w:rsidRPr="005E7F03">
        <w:rPr>
          <w:spacing w:val="1"/>
        </w:rPr>
        <w:t>e</w:t>
      </w:r>
      <w:r w:rsidRPr="005E7F03">
        <w:rPr>
          <w:spacing w:val="-3"/>
        </w:rPr>
        <w:t>v</w:t>
      </w:r>
      <w:r w:rsidRPr="005E7F03">
        <w:rPr>
          <w:spacing w:val="1"/>
        </w:rPr>
        <w:t>en</w:t>
      </w:r>
      <w:r w:rsidRPr="005E7F03">
        <w:t>t</w:t>
      </w:r>
      <w:r w:rsidRPr="005E7F03">
        <w:rPr>
          <w:spacing w:val="-3"/>
        </w:rPr>
        <w:t>s</w:t>
      </w:r>
      <w:r w:rsidRPr="005E7F03">
        <w:t>,</w:t>
      </w:r>
      <w:r w:rsidRPr="005E7F03">
        <w:rPr>
          <w:spacing w:val="-7"/>
        </w:rPr>
        <w:t xml:space="preserve"> </w:t>
      </w:r>
      <w:r w:rsidRPr="005E7F03">
        <w:rPr>
          <w:spacing w:val="-1"/>
        </w:rPr>
        <w:t>i</w:t>
      </w:r>
      <w:r w:rsidRPr="005E7F03">
        <w:rPr>
          <w:spacing w:val="1"/>
        </w:rPr>
        <w:t>n</w:t>
      </w:r>
      <w:r w:rsidRPr="005E7F03">
        <w:t>c</w:t>
      </w:r>
      <w:r w:rsidRPr="005E7F03">
        <w:rPr>
          <w:spacing w:val="-3"/>
        </w:rPr>
        <w:t>l</w:t>
      </w:r>
      <w:r w:rsidRPr="005E7F03">
        <w:rPr>
          <w:spacing w:val="1"/>
        </w:rPr>
        <w:t>ud</w:t>
      </w:r>
      <w:r w:rsidRPr="005E7F03">
        <w:rPr>
          <w:spacing w:val="-1"/>
        </w:rPr>
        <w:t>i</w:t>
      </w:r>
      <w:r w:rsidRPr="005E7F03">
        <w:rPr>
          <w:spacing w:val="1"/>
        </w:rPr>
        <w:t>n</w:t>
      </w:r>
      <w:r w:rsidRPr="005E7F03">
        <w:t>g</w:t>
      </w:r>
      <w:r w:rsidRPr="005E7F03">
        <w:rPr>
          <w:spacing w:val="-8"/>
        </w:rPr>
        <w:t xml:space="preserve"> </w:t>
      </w:r>
      <w:r w:rsidRPr="005E7F03">
        <w:rPr>
          <w:spacing w:val="1"/>
        </w:rPr>
        <w:t>ad</w:t>
      </w:r>
      <w:r w:rsidRPr="005E7F03">
        <w:rPr>
          <w:spacing w:val="-3"/>
        </w:rPr>
        <w:t>v</w:t>
      </w:r>
      <w:r w:rsidRPr="005E7F03">
        <w:rPr>
          <w:spacing w:val="1"/>
        </w:rPr>
        <w:t>e</w:t>
      </w:r>
      <w:r w:rsidRPr="005E7F03">
        <w:rPr>
          <w:spacing w:val="-1"/>
        </w:rPr>
        <w:t>r</w:t>
      </w:r>
      <w:r w:rsidRPr="005E7F03">
        <w:t>se</w:t>
      </w:r>
      <w:r w:rsidRPr="005E7F03">
        <w:rPr>
          <w:spacing w:val="-7"/>
        </w:rPr>
        <w:t xml:space="preserve"> </w:t>
      </w:r>
      <w:r w:rsidRPr="005E7F03">
        <w:rPr>
          <w:spacing w:val="1"/>
        </w:rPr>
        <w:t>e</w:t>
      </w:r>
      <w:r w:rsidRPr="005E7F03">
        <w:rPr>
          <w:spacing w:val="-3"/>
        </w:rPr>
        <w:t>v</w:t>
      </w:r>
      <w:r w:rsidRPr="005E7F03">
        <w:rPr>
          <w:spacing w:val="1"/>
        </w:rPr>
        <w:t>en</w:t>
      </w:r>
      <w:r w:rsidRPr="005E7F03">
        <w:t>ts</w:t>
      </w:r>
      <w:r w:rsidRPr="005E7F03">
        <w:rPr>
          <w:spacing w:val="-13"/>
        </w:rPr>
        <w:t xml:space="preserve"> </w:t>
      </w:r>
      <w:r w:rsidRPr="005E7F03">
        <w:rPr>
          <w:spacing w:val="1"/>
        </w:rPr>
        <w:t>an</w:t>
      </w:r>
      <w:r w:rsidRPr="005E7F03">
        <w:t>d</w:t>
      </w:r>
      <w:r w:rsidRPr="005E7F03">
        <w:rPr>
          <w:spacing w:val="-7"/>
        </w:rPr>
        <w:t xml:space="preserve"> drug </w:t>
      </w:r>
      <w:r w:rsidRPr="005E7F03">
        <w:rPr>
          <w:spacing w:val="-3"/>
        </w:rPr>
        <w:t>sa</w:t>
      </w:r>
      <w:r w:rsidRPr="005E7F03">
        <w:rPr>
          <w:spacing w:val="3"/>
        </w:rPr>
        <w:t>f</w:t>
      </w:r>
      <w:r w:rsidRPr="005E7F03">
        <w:rPr>
          <w:spacing w:val="-2"/>
        </w:rPr>
        <w:t>e</w:t>
      </w:r>
      <w:r w:rsidRPr="005E7F03">
        <w:t>ty</w:t>
      </w:r>
      <w:r w:rsidRPr="005E7F03">
        <w:rPr>
          <w:spacing w:val="-10"/>
        </w:rPr>
        <w:t xml:space="preserve"> </w:t>
      </w:r>
      <w:r w:rsidRPr="005E7F03">
        <w:rPr>
          <w:spacing w:val="1"/>
        </w:rPr>
        <w:t>upda</w:t>
      </w:r>
      <w:r w:rsidRPr="005E7F03">
        <w:rPr>
          <w:spacing w:val="-2"/>
        </w:rPr>
        <w:t>t</w:t>
      </w:r>
      <w:r w:rsidRPr="005E7F03">
        <w:rPr>
          <w:spacing w:val="1"/>
        </w:rPr>
        <w:t>e</w:t>
      </w:r>
      <w:r w:rsidRPr="005E7F03">
        <w:t xml:space="preserve">s, are reviewed according to the </w:t>
      </w:r>
      <w:bookmarkStart w:id="7" w:name="_Hlk11257206"/>
      <w:r w:rsidRPr="005E7F03">
        <w:t xml:space="preserve">SOP on activities related to ongoing REB </w:t>
      </w:r>
      <w:proofErr w:type="gramStart"/>
      <w:r w:rsidRPr="005E7F03">
        <w:t>review;</w:t>
      </w:r>
      <w:proofErr w:type="gramEnd"/>
    </w:p>
    <w:bookmarkEnd w:id="7"/>
    <w:p w14:paraId="0291C604" w14:textId="77777777" w:rsidR="00CA0107" w:rsidRPr="005E7F03" w:rsidRDefault="00CA0107" w:rsidP="00BB1A94">
      <w:pPr>
        <w:pStyle w:val="Titre3"/>
        <w:widowControl/>
      </w:pPr>
      <w:r w:rsidRPr="005E7F03">
        <w:t>The REB Chair or designee may use delegated review procedures for the review of other types of minor changes</w:t>
      </w:r>
      <w:r w:rsidR="00CA73D9" w:rsidRPr="005E7F03">
        <w:rPr>
          <w:rStyle w:val="Appelnotedebasdep"/>
        </w:rPr>
        <w:footnoteReference w:id="15"/>
      </w:r>
      <w:r w:rsidR="00CA73D9" w:rsidRPr="005E7F03">
        <w:t xml:space="preserve"> </w:t>
      </w:r>
      <w:r w:rsidRPr="005E7F03">
        <w:t>including, but not limited to, the following:</w:t>
      </w:r>
    </w:p>
    <w:p w14:paraId="2D6646EB" w14:textId="77777777" w:rsidR="00CA0107" w:rsidRPr="005E7F03" w:rsidRDefault="00CA0107" w:rsidP="00816430">
      <w:pPr>
        <w:pStyle w:val="SOPBulletC"/>
        <w:numPr>
          <w:ilvl w:val="0"/>
          <w:numId w:val="25"/>
        </w:numPr>
        <w:ind w:left="1843" w:hanging="709"/>
      </w:pPr>
      <w:r w:rsidRPr="005E7F03">
        <w:t>Participant materials such as: recruitment posters or scripts, diaries, validated questionnaires, clinical trial identification/wallet cards,</w:t>
      </w:r>
    </w:p>
    <w:p w14:paraId="47BB7971" w14:textId="77777777" w:rsidR="00CA0107" w:rsidRPr="005E7F03" w:rsidRDefault="00CA0107" w:rsidP="00816430">
      <w:pPr>
        <w:pStyle w:val="SOPBulletC"/>
        <w:numPr>
          <w:ilvl w:val="0"/>
          <w:numId w:val="25"/>
        </w:numPr>
        <w:ind w:left="1843" w:hanging="709"/>
      </w:pPr>
      <w:r w:rsidRPr="005E7F03">
        <w:t xml:space="preserve">Address </w:t>
      </w:r>
      <w:proofErr w:type="gramStart"/>
      <w:r w:rsidRPr="005E7F03">
        <w:t>changes;</w:t>
      </w:r>
      <w:proofErr w:type="gramEnd"/>
    </w:p>
    <w:p w14:paraId="7E2ECD3F" w14:textId="77777777" w:rsidR="00CA0107" w:rsidRPr="005E7F03" w:rsidRDefault="00CA0107" w:rsidP="00BB1A94">
      <w:pPr>
        <w:pStyle w:val="Titre3"/>
        <w:widowControl/>
      </w:pPr>
      <w:r w:rsidRPr="005E7F03">
        <w:t xml:space="preserve">The REB Chair or designee may review miscellaneous items such as changes to meeting minutes that previously received approval with conditions at a Full Board </w:t>
      </w:r>
      <w:proofErr w:type="gramStart"/>
      <w:r w:rsidRPr="005E7F03">
        <w:t>meeting;</w:t>
      </w:r>
      <w:proofErr w:type="gramEnd"/>
    </w:p>
    <w:p w14:paraId="5A37C48D" w14:textId="77777777" w:rsidR="00CA0107" w:rsidRPr="005E7F03" w:rsidRDefault="00CA0107" w:rsidP="00BB1A94">
      <w:pPr>
        <w:pStyle w:val="Titre3"/>
        <w:widowControl/>
      </w:pPr>
      <w:r w:rsidRPr="005E7F03">
        <w:t>When determining if initial review of research or modifications to previously approved research are eligible for delegated review, the REB Chair or designee will take into consideration the methods used to conduct the research, recruitment practices, participant population, confidentiality of data, and all regulatory and ethics guidance requirements as applicable.</w:t>
      </w:r>
    </w:p>
    <w:p w14:paraId="287C2A7E" w14:textId="77777777" w:rsidR="00CA0107" w:rsidRPr="005E7F03" w:rsidRDefault="00CA0107" w:rsidP="00BB1A94">
      <w:pPr>
        <w:pStyle w:val="Titre2"/>
        <w:widowControl/>
      </w:pPr>
      <w:bookmarkStart w:id="8" w:name="_Toc151477000"/>
      <w:r w:rsidRPr="005E7F03">
        <w:t>Delegated Review Process</w:t>
      </w:r>
      <w:bookmarkEnd w:id="8"/>
    </w:p>
    <w:p w14:paraId="3E76F260" w14:textId="77777777" w:rsidR="00CA0107" w:rsidRPr="005E7F03" w:rsidRDefault="00CA0107" w:rsidP="00BB1A94">
      <w:pPr>
        <w:pStyle w:val="Titre3"/>
        <w:widowControl/>
      </w:pPr>
      <w:r w:rsidRPr="005E7F03">
        <w:t>The REB Chair or designee or qualified REB Support Staff will determine whether the submission meets the criteria for delegated review</w:t>
      </w:r>
      <w:r w:rsidR="00CA73D9" w:rsidRPr="005E7F03">
        <w:rPr>
          <w:rStyle w:val="Appelnotedebasdep"/>
        </w:rPr>
        <w:footnoteReference w:id="16"/>
      </w:r>
      <w:r w:rsidRPr="005E7F03">
        <w:t>;</w:t>
      </w:r>
    </w:p>
    <w:p w14:paraId="665F8A8B" w14:textId="77777777" w:rsidR="00CA0107" w:rsidRPr="005E7F03" w:rsidRDefault="00CA0107" w:rsidP="00BB1A94">
      <w:pPr>
        <w:pStyle w:val="Titre3"/>
        <w:widowControl/>
      </w:pPr>
      <w:r w:rsidRPr="005E7F03">
        <w:t>For research that meets the criteria, delegated review may be conducted by the REB Chair, or by one or more qualified REB members as designated by the REB Chair or designee</w:t>
      </w:r>
      <w:r w:rsidR="00CA73D9" w:rsidRPr="005E7F03">
        <w:rPr>
          <w:rStyle w:val="Appelnotedebasdep"/>
        </w:rPr>
        <w:footnoteReference w:id="17"/>
      </w:r>
      <w:r w:rsidRPr="005E7F03">
        <w:t>;</w:t>
      </w:r>
    </w:p>
    <w:p w14:paraId="57683565" w14:textId="77777777" w:rsidR="00CA0107" w:rsidRPr="005E7F03" w:rsidRDefault="00CA0107" w:rsidP="00BB1A94">
      <w:pPr>
        <w:pStyle w:val="Titre3"/>
        <w:widowControl/>
      </w:pPr>
      <w:r w:rsidRPr="005E7F03">
        <w:t xml:space="preserve">The authority of REB members conducting a delegated review is </w:t>
      </w:r>
      <w:proofErr w:type="gramStart"/>
      <w:r w:rsidRPr="005E7F03">
        <w:t>similar to</w:t>
      </w:r>
      <w:proofErr w:type="gramEnd"/>
      <w:r w:rsidRPr="005E7F03">
        <w:t xml:space="preserve"> that of the REB, but without the power to disapprove a research project</w:t>
      </w:r>
      <w:r w:rsidR="00CA73D9" w:rsidRPr="005E7F03">
        <w:rPr>
          <w:rStyle w:val="Appelnotedebasdep"/>
        </w:rPr>
        <w:footnoteReference w:id="18"/>
      </w:r>
      <w:r w:rsidRPr="005E7F03">
        <w:t>;</w:t>
      </w:r>
    </w:p>
    <w:p w14:paraId="373BD55B" w14:textId="77777777" w:rsidR="00CA0107" w:rsidRPr="005E7F03" w:rsidRDefault="00CA0107" w:rsidP="00BB1A94">
      <w:pPr>
        <w:pStyle w:val="Titre3"/>
        <w:widowControl/>
      </w:pPr>
      <w:r w:rsidRPr="005E7F03">
        <w:t>REB member(s) conducting a delegated review may request the expertise of an ad hoc advisor, if applicable. Ad hoc advisors may not participate in the final decision regarding approval of the research</w:t>
      </w:r>
      <w:r w:rsidR="00CA73D9" w:rsidRPr="005E7F03">
        <w:rPr>
          <w:rStyle w:val="Appelnotedebasdep"/>
        </w:rPr>
        <w:footnoteReference w:id="19"/>
      </w:r>
      <w:r w:rsidRPr="005E7F03">
        <w:t>;</w:t>
      </w:r>
    </w:p>
    <w:p w14:paraId="5401F9CD" w14:textId="77777777" w:rsidR="00CA0107" w:rsidRPr="005E7F03" w:rsidRDefault="00CA0107" w:rsidP="00BB1A94">
      <w:pPr>
        <w:pStyle w:val="Titre3"/>
        <w:widowControl/>
      </w:pPr>
      <w:r w:rsidRPr="005E7F03">
        <w:lastRenderedPageBreak/>
        <w:t>If the REB Chair or designee subsequently determines that the level of risk for the submission is greater than minimal, the submission will be referred to a Full Board meeting for review.</w:t>
      </w:r>
    </w:p>
    <w:p w14:paraId="222B630C" w14:textId="77777777" w:rsidR="00CA0107" w:rsidRPr="005E7F03" w:rsidRDefault="00CA0107" w:rsidP="00BB1A94">
      <w:pPr>
        <w:pStyle w:val="Titre2"/>
        <w:widowControl/>
      </w:pPr>
      <w:bookmarkStart w:id="9" w:name="_Toc151477001"/>
      <w:r w:rsidRPr="005E7F03">
        <w:t>Notification of the REB</w:t>
      </w:r>
      <w:bookmarkEnd w:id="9"/>
    </w:p>
    <w:p w14:paraId="758392B5" w14:textId="77777777" w:rsidR="00CA0107" w:rsidRPr="005E7F03" w:rsidRDefault="00CA0107" w:rsidP="00BB1A94">
      <w:pPr>
        <w:pStyle w:val="Titre3"/>
        <w:widowControl/>
      </w:pPr>
      <w:r w:rsidRPr="005E7F03">
        <w:t>At its next Full Board meeting the REB will be informed of any research that was reviewed and approved using delegated review procedures.</w:t>
      </w:r>
    </w:p>
    <w:p w14:paraId="3EC4B860" w14:textId="77777777" w:rsidR="00CA0107" w:rsidRPr="005E7F03" w:rsidRDefault="00CA0107" w:rsidP="00BB1A94">
      <w:pPr>
        <w:pStyle w:val="Titre2"/>
        <w:widowControl/>
      </w:pPr>
      <w:bookmarkStart w:id="10" w:name="_Toc151477002"/>
      <w:r w:rsidRPr="005E7F03">
        <w:t>Documentation</w:t>
      </w:r>
      <w:bookmarkEnd w:id="10"/>
    </w:p>
    <w:p w14:paraId="1BE208F4" w14:textId="77777777" w:rsidR="00CA0107" w:rsidRPr="005E7F03" w:rsidRDefault="00CA0107" w:rsidP="00BB1A94">
      <w:pPr>
        <w:pStyle w:val="Titre3"/>
        <w:widowControl/>
      </w:pPr>
      <w:r w:rsidRPr="005E7F03">
        <w:t>The type of REB review conducted (</w:t>
      </w:r>
      <w:proofErr w:type="gramStart"/>
      <w:r w:rsidRPr="005E7F03">
        <w:t>i.e.</w:t>
      </w:r>
      <w:proofErr w:type="gramEnd"/>
      <w:r w:rsidRPr="005E7F03">
        <w:t xml:space="preserve"> Full Board or delegated) is documented in the REB records and noted in the decision letter issued to the Researcher, where appropriate;</w:t>
      </w:r>
    </w:p>
    <w:p w14:paraId="09FBFABA" w14:textId="77777777" w:rsidR="00CA0107" w:rsidRPr="005E7F03" w:rsidRDefault="00CA0107" w:rsidP="00BB1A94">
      <w:pPr>
        <w:pStyle w:val="Titre3"/>
        <w:widowControl/>
      </w:pPr>
      <w:r w:rsidRPr="005E7F03">
        <w:t>The REB meeting agendas and minutes will include a list of submissions that were reviewed and approved using delegated review procedures from the time that the agenda for the previous REB meeting was issued.</w:t>
      </w:r>
    </w:p>
    <w:p w14:paraId="22CE6B58" w14:textId="77777777" w:rsidR="00756C58" w:rsidRPr="005E7F03" w:rsidRDefault="002E18ED" w:rsidP="00BB1A94">
      <w:pPr>
        <w:pStyle w:val="Titre1"/>
        <w:widowControl/>
      </w:pPr>
      <w:bookmarkStart w:id="11" w:name="_Toc151477003"/>
      <w:r w:rsidRPr="005E7F03">
        <w:t>R</w:t>
      </w:r>
      <w:r w:rsidR="00756C58" w:rsidRPr="005E7F03">
        <w:t>eferences</w:t>
      </w:r>
      <w:bookmarkEnd w:id="11"/>
    </w:p>
    <w:p w14:paraId="63F8C42A" w14:textId="77777777" w:rsidR="00756C58" w:rsidRPr="005E7F03" w:rsidRDefault="00A313CE" w:rsidP="00BB1A94">
      <w:r w:rsidRPr="005E7F03">
        <w:t>See footnotes.</w:t>
      </w:r>
    </w:p>
    <w:p w14:paraId="598A7E1C" w14:textId="77777777" w:rsidR="00756C58" w:rsidRPr="005E7F03" w:rsidRDefault="002E18ED" w:rsidP="00BB1A94">
      <w:pPr>
        <w:pStyle w:val="Titre1"/>
        <w:widowControl/>
      </w:pPr>
      <w:bookmarkStart w:id="12" w:name="_Toc151477004"/>
      <w:r w:rsidRPr="005E7F03">
        <w:t>R</w:t>
      </w:r>
      <w:r w:rsidR="00756C58" w:rsidRPr="005E7F03">
        <w:t>evision History</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5E7F03" w14:paraId="361FB365" w14:textId="77777777" w:rsidTr="0030704D">
        <w:tc>
          <w:tcPr>
            <w:tcW w:w="2297" w:type="dxa"/>
            <w:tcBorders>
              <w:right w:val="single" w:sz="4" w:space="0" w:color="auto"/>
            </w:tcBorders>
            <w:shd w:val="clear" w:color="auto" w:fill="auto"/>
            <w:vAlign w:val="center"/>
          </w:tcPr>
          <w:p w14:paraId="3114E5DE" w14:textId="77777777" w:rsidR="00756C58" w:rsidRPr="005E7F03" w:rsidRDefault="00756C58" w:rsidP="00BB1A94">
            <w:pPr>
              <w:spacing w:before="0" w:after="0"/>
              <w:jc w:val="center"/>
              <w:rPr>
                <w:rFonts w:eastAsia="Calibri"/>
                <w:b/>
              </w:rPr>
            </w:pPr>
            <w:r w:rsidRPr="005E7F03">
              <w:rPr>
                <w:rFonts w:eastAsia="Calibri"/>
                <w:b/>
              </w:rPr>
              <w:t>SOP Code</w:t>
            </w:r>
          </w:p>
        </w:tc>
        <w:tc>
          <w:tcPr>
            <w:tcW w:w="1559" w:type="dxa"/>
            <w:tcBorders>
              <w:left w:val="single" w:sz="4" w:space="0" w:color="auto"/>
              <w:right w:val="single" w:sz="4" w:space="0" w:color="auto"/>
            </w:tcBorders>
            <w:shd w:val="clear" w:color="auto" w:fill="auto"/>
            <w:vAlign w:val="center"/>
          </w:tcPr>
          <w:p w14:paraId="09C34C7E" w14:textId="77777777" w:rsidR="00756C58" w:rsidRPr="005E7F03" w:rsidRDefault="00756C58" w:rsidP="00BB1A94">
            <w:pPr>
              <w:spacing w:before="0" w:after="0"/>
              <w:jc w:val="center"/>
              <w:rPr>
                <w:rFonts w:eastAsia="Calibri"/>
                <w:b/>
              </w:rPr>
            </w:pPr>
            <w:r w:rsidRPr="005E7F03">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45A4542" w14:textId="77777777" w:rsidR="00756C58" w:rsidRPr="005E7F03" w:rsidRDefault="00756C58" w:rsidP="00BB1A94">
            <w:pPr>
              <w:spacing w:before="0" w:after="0"/>
              <w:jc w:val="left"/>
              <w:rPr>
                <w:rFonts w:eastAsia="Calibri"/>
                <w:b/>
              </w:rPr>
            </w:pPr>
            <w:r w:rsidRPr="005E7F03">
              <w:rPr>
                <w:rFonts w:eastAsia="Calibri"/>
                <w:b/>
              </w:rPr>
              <w:t>Summary of Changes</w:t>
            </w:r>
          </w:p>
        </w:tc>
      </w:tr>
      <w:tr w:rsidR="00756C58" w:rsidRPr="005E7F03" w14:paraId="7D313524" w14:textId="77777777" w:rsidTr="0030704D">
        <w:tc>
          <w:tcPr>
            <w:tcW w:w="2297" w:type="dxa"/>
            <w:tcBorders>
              <w:right w:val="single" w:sz="4" w:space="0" w:color="auto"/>
            </w:tcBorders>
            <w:shd w:val="clear" w:color="auto" w:fill="auto"/>
            <w:vAlign w:val="center"/>
          </w:tcPr>
          <w:p w14:paraId="7931E8ED" w14:textId="77777777" w:rsidR="00756C58" w:rsidRPr="005E7F03" w:rsidRDefault="00756C58" w:rsidP="00BB1A94">
            <w:pPr>
              <w:spacing w:before="0" w:after="0"/>
              <w:jc w:val="left"/>
              <w:rPr>
                <w:rFonts w:eastAsia="Calibri" w:cs="Arial"/>
              </w:rPr>
            </w:pPr>
            <w:r w:rsidRPr="005E7F03">
              <w:rPr>
                <w:rFonts w:eastAsia="Calibri"/>
              </w:rPr>
              <w:t>REB</w:t>
            </w:r>
            <w:r w:rsidR="00660163" w:rsidRPr="005E7F03">
              <w:rPr>
                <w:rFonts w:eastAsia="Calibri"/>
              </w:rPr>
              <w:t>-</w:t>
            </w:r>
            <w:r w:rsidRPr="005E7F03">
              <w:rPr>
                <w:rFonts w:eastAsia="Calibri"/>
              </w:rPr>
              <w:t>SOP</w:t>
            </w:r>
            <w:r w:rsidR="00660163" w:rsidRPr="005E7F03">
              <w:rPr>
                <w:rFonts w:eastAsia="Calibri"/>
              </w:rPr>
              <w:t xml:space="preserve"> </w:t>
            </w:r>
            <w:r w:rsidR="00CA0107" w:rsidRPr="005E7F03">
              <w:rPr>
                <w:rFonts w:eastAsia="Calibri"/>
              </w:rPr>
              <w:t>402.001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1D7FE" w14:textId="1B9C02CE" w:rsidR="00756C58" w:rsidRPr="005E7F03" w:rsidRDefault="00062AF3" w:rsidP="00BB1A94">
            <w:pPr>
              <w:spacing w:before="0" w:after="0"/>
              <w:jc w:val="center"/>
              <w:rPr>
                <w:rFonts w:eastAsia="Calibri"/>
              </w:rPr>
            </w:pPr>
            <w:r w:rsidRPr="005E7F03">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987E38B" w14:textId="77777777" w:rsidR="00756C58" w:rsidRPr="005E7F03" w:rsidRDefault="00756C58" w:rsidP="00BB1A94">
            <w:pPr>
              <w:spacing w:before="0" w:after="0"/>
              <w:jc w:val="left"/>
              <w:rPr>
                <w:rFonts w:eastAsia="Calibri"/>
              </w:rPr>
            </w:pPr>
            <w:r w:rsidRPr="005E7F03">
              <w:rPr>
                <w:rFonts w:eastAsia="Calibri"/>
              </w:rPr>
              <w:t xml:space="preserve">Original </w:t>
            </w:r>
            <w:r w:rsidR="00B43B4B" w:rsidRPr="005E7F03">
              <w:rPr>
                <w:rFonts w:eastAsia="Calibri"/>
              </w:rPr>
              <w:t>v</w:t>
            </w:r>
            <w:r w:rsidRPr="005E7F03">
              <w:rPr>
                <w:rFonts w:eastAsia="Calibri"/>
              </w:rPr>
              <w:t>ersion</w:t>
            </w:r>
          </w:p>
        </w:tc>
      </w:tr>
      <w:tr w:rsidR="00062AF3" w:rsidRPr="005E7F03" w14:paraId="661150A8" w14:textId="77777777" w:rsidTr="0030704D">
        <w:tc>
          <w:tcPr>
            <w:tcW w:w="2297" w:type="dxa"/>
            <w:tcBorders>
              <w:right w:val="single" w:sz="4" w:space="0" w:color="auto"/>
            </w:tcBorders>
            <w:shd w:val="clear" w:color="auto" w:fill="auto"/>
            <w:vAlign w:val="center"/>
          </w:tcPr>
          <w:p w14:paraId="63D0AAA0" w14:textId="225BBAD3" w:rsidR="00062AF3" w:rsidRPr="005E7F03" w:rsidRDefault="00062AF3" w:rsidP="00062AF3">
            <w:pPr>
              <w:spacing w:before="0" w:after="0"/>
              <w:jc w:val="left"/>
              <w:rPr>
                <w:rFonts w:eastAsia="Calibri"/>
              </w:rPr>
            </w:pPr>
            <w:r w:rsidRPr="005E7F03">
              <w:rPr>
                <w:rFonts w:eastAsia="Calibri"/>
              </w:rPr>
              <w:t>REB-SOP 402.002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2EA267" w14:textId="439F18B8" w:rsidR="00062AF3" w:rsidRPr="005E7F03" w:rsidRDefault="00062AF3" w:rsidP="00062AF3">
            <w:pPr>
              <w:spacing w:before="0" w:after="0"/>
              <w:jc w:val="center"/>
              <w:rPr>
                <w:rFonts w:eastAsia="Calibri"/>
              </w:rPr>
            </w:pPr>
            <w:r w:rsidRPr="005E7F03">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1C9BA3C" w14:textId="77777777" w:rsidR="00062AF3" w:rsidRPr="005E7F03" w:rsidRDefault="00062AF3" w:rsidP="00062AF3">
            <w:pPr>
              <w:spacing w:before="0" w:after="0"/>
              <w:jc w:val="left"/>
              <w:rPr>
                <w:rFonts w:eastAsia="Calibri"/>
              </w:rPr>
            </w:pPr>
            <w:r w:rsidRPr="005E7F03">
              <w:rPr>
                <w:rFonts w:eastAsia="Calibri"/>
              </w:rPr>
              <w:t xml:space="preserve">Updated in line with regulations in </w:t>
            </w:r>
            <w:proofErr w:type="gramStart"/>
            <w:r w:rsidRPr="005E7F03">
              <w:rPr>
                <w:rFonts w:eastAsia="Calibri"/>
              </w:rPr>
              <w:t>effect</w:t>
            </w:r>
            <w:proofErr w:type="gramEnd"/>
          </w:p>
          <w:p w14:paraId="331920EF" w14:textId="05D1C431" w:rsidR="00062AF3" w:rsidRPr="005E7F03" w:rsidRDefault="00062AF3" w:rsidP="00062AF3">
            <w:pPr>
              <w:spacing w:before="0" w:after="0"/>
              <w:jc w:val="left"/>
              <w:rPr>
                <w:rFonts w:eastAsia="Calibri"/>
              </w:rPr>
            </w:pPr>
            <w:r w:rsidRPr="005E7F03">
              <w:rPr>
                <w:rFonts w:eastAsia="Calibri"/>
              </w:rPr>
              <w:t>Updated references</w:t>
            </w:r>
          </w:p>
        </w:tc>
      </w:tr>
      <w:tr w:rsidR="00756C58" w:rsidRPr="005E7F03" w14:paraId="15FFF702" w14:textId="77777777" w:rsidTr="0030704D">
        <w:tc>
          <w:tcPr>
            <w:tcW w:w="2297" w:type="dxa"/>
            <w:tcBorders>
              <w:right w:val="single" w:sz="4" w:space="0" w:color="auto"/>
            </w:tcBorders>
            <w:shd w:val="clear" w:color="auto" w:fill="auto"/>
            <w:vAlign w:val="center"/>
          </w:tcPr>
          <w:p w14:paraId="41502315" w14:textId="77777777" w:rsidR="00756C58" w:rsidRPr="005E7F03" w:rsidRDefault="00756C58" w:rsidP="00BB1A94">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3A5EC59B" w14:textId="77777777" w:rsidR="00756C58" w:rsidRPr="005E7F03" w:rsidRDefault="00756C58" w:rsidP="00BB1A94">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0CF9124" w14:textId="77777777" w:rsidR="00756C58" w:rsidRPr="005E7F03" w:rsidRDefault="00756C58" w:rsidP="00BB1A94">
            <w:pPr>
              <w:spacing w:before="0" w:after="0"/>
              <w:jc w:val="left"/>
              <w:rPr>
                <w:rFonts w:eastAsia="Calibri"/>
              </w:rPr>
            </w:pPr>
          </w:p>
        </w:tc>
      </w:tr>
    </w:tbl>
    <w:p w14:paraId="17B3D4E8" w14:textId="77777777" w:rsidR="00756C58" w:rsidRPr="005E7F03" w:rsidRDefault="002E18ED" w:rsidP="00BB1A94">
      <w:pPr>
        <w:pStyle w:val="Titre1"/>
        <w:widowControl/>
      </w:pPr>
      <w:bookmarkStart w:id="13" w:name="_Toc151477005"/>
      <w:r w:rsidRPr="005E7F03">
        <w:t>Appendices</w:t>
      </w:r>
      <w:bookmarkEnd w:id="13"/>
    </w:p>
    <w:p w14:paraId="68FB7F34" w14:textId="77777777" w:rsidR="00756C58" w:rsidRPr="005E7F03" w:rsidRDefault="00756C58" w:rsidP="00BB1A94"/>
    <w:sectPr w:rsidR="00756C58" w:rsidRPr="005E7F03"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ED2F" w14:textId="77777777" w:rsidR="00FD556C" w:rsidRDefault="00FD556C" w:rsidP="0030269A">
      <w:pPr>
        <w:spacing w:before="0" w:after="0"/>
      </w:pPr>
      <w:r>
        <w:separator/>
      </w:r>
    </w:p>
  </w:endnote>
  <w:endnote w:type="continuationSeparator" w:id="0">
    <w:p w14:paraId="2A7D28E9" w14:textId="77777777" w:rsidR="00FD556C" w:rsidRDefault="00FD556C"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2DD8" w14:textId="77777777" w:rsidR="002E18ED" w:rsidRPr="00627E38" w:rsidRDefault="002E18ED" w:rsidP="002E18ED">
    <w:pPr>
      <w:pStyle w:val="Pieddepage"/>
      <w:pBdr>
        <w:bottom w:val="single" w:sz="4" w:space="1" w:color="auto"/>
      </w:pBdr>
      <w:rPr>
        <w:sz w:val="20"/>
        <w:szCs w:val="20"/>
      </w:rPr>
    </w:pPr>
  </w:p>
  <w:p w14:paraId="6B6EBD5D" w14:textId="49E7CE90"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8E0CB4">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CDBB" w14:textId="77777777" w:rsidR="00FD556C" w:rsidRDefault="00FD556C" w:rsidP="0030269A">
      <w:pPr>
        <w:spacing w:before="0" w:after="0"/>
      </w:pPr>
      <w:r>
        <w:separator/>
      </w:r>
    </w:p>
  </w:footnote>
  <w:footnote w:type="continuationSeparator" w:id="0">
    <w:p w14:paraId="2F9E1D8C" w14:textId="77777777" w:rsidR="00FD556C" w:rsidRDefault="00FD556C" w:rsidP="0030269A">
      <w:pPr>
        <w:spacing w:before="0" w:after="0"/>
      </w:pPr>
      <w:r>
        <w:continuationSeparator/>
      </w:r>
    </w:p>
  </w:footnote>
  <w:footnote w:id="1">
    <w:p w14:paraId="1A2A0D76" w14:textId="43761834" w:rsidR="00CA0107" w:rsidRPr="00CA0107" w:rsidRDefault="00CA0107">
      <w:pPr>
        <w:pStyle w:val="Notedebasdepage"/>
        <w:rPr>
          <w:lang w:val="en-US"/>
        </w:rPr>
      </w:pPr>
      <w:r>
        <w:rPr>
          <w:rStyle w:val="Appelnotedebasdep"/>
        </w:rPr>
        <w:footnoteRef/>
      </w:r>
      <w:r>
        <w:t xml:space="preserve"> </w:t>
      </w:r>
      <w:r w:rsidRPr="00CA0107">
        <w:rPr>
          <w:lang w:val="en-US"/>
        </w:rPr>
        <w:tab/>
      </w:r>
      <w:bookmarkStart w:id="3" w:name="_Hlk151373746"/>
      <w:r w:rsidR="00457315" w:rsidRPr="00FA598F">
        <w:rPr>
          <w:rFonts w:ascii="Calibri" w:hAnsi="Calibri" w:cs="Calibri"/>
        </w:rPr>
        <w:t xml:space="preserve">Canadian Institutes of Health Research, Natural Sciences and Engineering Research Council of Canada, and Social Sciences and Humanities Research Council of Canada, </w:t>
      </w:r>
      <w:r w:rsidR="00457315" w:rsidRPr="00FA598F">
        <w:rPr>
          <w:rFonts w:ascii="Calibri" w:hAnsi="Calibri" w:cs="Calibri"/>
          <w:i/>
          <w:iCs/>
        </w:rPr>
        <w:t>Tri-Council Policy Statement: Ethical Conduct for Research Involving Humans</w:t>
      </w:r>
      <w:r w:rsidR="00457315" w:rsidRPr="00FA598F">
        <w:rPr>
          <w:rFonts w:ascii="Calibri" w:hAnsi="Calibri" w:cs="Calibri"/>
        </w:rPr>
        <w:t>, December</w:t>
      </w:r>
      <w:bookmarkEnd w:id="3"/>
      <w:r w:rsidRPr="00CA0107">
        <w:rPr>
          <w:lang w:val="en-US"/>
        </w:rPr>
        <w:t xml:space="preserve"> </w:t>
      </w:r>
      <w:r w:rsidR="007904C8">
        <w:rPr>
          <w:lang w:val="en-US"/>
        </w:rPr>
        <w:t>2018, hereafter “</w:t>
      </w:r>
      <w:r w:rsidRPr="00CA0107">
        <w:rPr>
          <w:lang w:val="en-US"/>
        </w:rPr>
        <w:t>TCPS2</w:t>
      </w:r>
      <w:r w:rsidR="007904C8">
        <w:rPr>
          <w:lang w:val="en-US"/>
        </w:rPr>
        <w:t>”</w:t>
      </w:r>
      <w:r w:rsidRPr="00CA0107">
        <w:rPr>
          <w:lang w:val="en-US"/>
        </w:rPr>
        <w:t xml:space="preserve">, </w:t>
      </w:r>
      <w:r w:rsidR="007904C8">
        <w:rPr>
          <w:lang w:val="en-US"/>
        </w:rPr>
        <w:t xml:space="preserve">Application under </w:t>
      </w:r>
      <w:r w:rsidRPr="00CA0107">
        <w:rPr>
          <w:lang w:val="en-US"/>
        </w:rPr>
        <w:t>art. 6.12.</w:t>
      </w:r>
    </w:p>
  </w:footnote>
  <w:footnote w:id="2">
    <w:p w14:paraId="5A532A41" w14:textId="0D4CA8B7" w:rsidR="00CA0107" w:rsidRPr="00BB1A94" w:rsidRDefault="00CA0107" w:rsidP="00CA0107">
      <w:pPr>
        <w:pStyle w:val="Notedebasdepage"/>
        <w:rPr>
          <w:lang w:val="en-US"/>
        </w:rPr>
      </w:pPr>
      <w:r>
        <w:rPr>
          <w:rStyle w:val="Appelnotedebasdep"/>
        </w:rPr>
        <w:footnoteRef/>
      </w:r>
      <w:r>
        <w:t xml:space="preserve"> </w:t>
      </w:r>
      <w:r w:rsidRPr="00BB1A94">
        <w:rPr>
          <w:lang w:val="en-US"/>
        </w:rPr>
        <w:tab/>
        <w:t>TCPS2, art.</w:t>
      </w:r>
      <w:r w:rsidR="008E0CB4">
        <w:rPr>
          <w:lang w:val="en-US"/>
        </w:rPr>
        <w:t xml:space="preserve"> </w:t>
      </w:r>
      <w:r w:rsidRPr="00BB1A94">
        <w:rPr>
          <w:lang w:val="en-US"/>
        </w:rPr>
        <w:t>2.9 and 6.12.</w:t>
      </w:r>
    </w:p>
  </w:footnote>
  <w:footnote w:id="3">
    <w:p w14:paraId="4388D6E8" w14:textId="77777777" w:rsidR="00CA0107" w:rsidRPr="00BB1A94" w:rsidRDefault="00CA0107" w:rsidP="00CA0107">
      <w:pPr>
        <w:pStyle w:val="Notedebasdepage"/>
        <w:rPr>
          <w:lang w:val="en-US"/>
        </w:rPr>
      </w:pPr>
      <w:r>
        <w:rPr>
          <w:rStyle w:val="Appelnotedebasdep"/>
        </w:rPr>
        <w:footnoteRef/>
      </w:r>
      <w:r>
        <w:t xml:space="preserve"> </w:t>
      </w:r>
      <w:r w:rsidRPr="00BB1A94">
        <w:rPr>
          <w:lang w:val="en-US"/>
        </w:rPr>
        <w:tab/>
        <w:t>TCPS2, art. 2.9 and 6.12.</w:t>
      </w:r>
    </w:p>
  </w:footnote>
  <w:footnote w:id="4">
    <w:p w14:paraId="73A94D35" w14:textId="21F0A8D8" w:rsidR="00CA0107" w:rsidRPr="00BB1A94" w:rsidRDefault="00CA0107">
      <w:pPr>
        <w:pStyle w:val="Notedebasdepage"/>
        <w:rPr>
          <w:lang w:val="en-US"/>
        </w:rPr>
      </w:pPr>
      <w:r>
        <w:rPr>
          <w:rStyle w:val="Appelnotedebasdep"/>
        </w:rPr>
        <w:footnoteRef/>
      </w:r>
      <w:r w:rsidRPr="00BB1A94">
        <w:rPr>
          <w:lang w:val="en-US"/>
        </w:rPr>
        <w:t xml:space="preserve"> </w:t>
      </w:r>
      <w:r w:rsidRPr="00BB1A94">
        <w:rPr>
          <w:lang w:val="en-US"/>
        </w:rPr>
        <w:tab/>
        <w:t>TCPS2, art. 2.9 and 6.12; Operational Guidelines for Ethics Committees that Review Biomedical Research, World Health Organization (WHO), 2000, hereafter “TDR”, s. 6.3.</w:t>
      </w:r>
    </w:p>
  </w:footnote>
  <w:footnote w:id="5">
    <w:p w14:paraId="4103DCAB" w14:textId="59B2754D" w:rsidR="00CA73D9" w:rsidRPr="00BB1A94" w:rsidRDefault="00CA73D9">
      <w:pPr>
        <w:pStyle w:val="Notedebasdepage"/>
        <w:rPr>
          <w:lang w:val="en-US"/>
        </w:rPr>
      </w:pPr>
      <w:r>
        <w:rPr>
          <w:rStyle w:val="Appelnotedebasdep"/>
        </w:rPr>
        <w:footnoteRef/>
      </w:r>
      <w:r>
        <w:t xml:space="preserve"> </w:t>
      </w:r>
      <w:r w:rsidRPr="00BB1A94">
        <w:rPr>
          <w:lang w:val="en-US"/>
        </w:rPr>
        <w:tab/>
        <w:t>TCPS2, art. 6.12.</w:t>
      </w:r>
    </w:p>
  </w:footnote>
  <w:footnote w:id="6">
    <w:p w14:paraId="4C35740C" w14:textId="3CEFB2C1" w:rsidR="00CA73D9" w:rsidRPr="00BB1A94" w:rsidRDefault="00CA73D9">
      <w:pPr>
        <w:pStyle w:val="Notedebasdepage"/>
        <w:rPr>
          <w:lang w:val="en-US"/>
        </w:rPr>
      </w:pPr>
      <w:r>
        <w:rPr>
          <w:rStyle w:val="Appelnotedebasdep"/>
        </w:rPr>
        <w:footnoteRef/>
      </w:r>
      <w:r>
        <w:t xml:space="preserve"> </w:t>
      </w:r>
      <w:r w:rsidRPr="00BB1A94">
        <w:rPr>
          <w:lang w:val="en-US"/>
        </w:rPr>
        <w:tab/>
        <w:t xml:space="preserve">TCPS2, </w:t>
      </w:r>
      <w:r w:rsidR="008E0CB4">
        <w:rPr>
          <w:lang w:val="en-US"/>
        </w:rPr>
        <w:t xml:space="preserve">Application under </w:t>
      </w:r>
      <w:r w:rsidRPr="00BB1A94">
        <w:rPr>
          <w:lang w:val="en-US"/>
        </w:rPr>
        <w:t>art. 6.12.</w:t>
      </w:r>
    </w:p>
  </w:footnote>
  <w:footnote w:id="7">
    <w:p w14:paraId="39B1C7BA" w14:textId="77777777" w:rsidR="00CA73D9" w:rsidRPr="00CA73D9" w:rsidRDefault="00CA73D9">
      <w:pPr>
        <w:pStyle w:val="Notedebasdepage"/>
        <w:rPr>
          <w:lang w:val="fr-CA"/>
        </w:rPr>
      </w:pPr>
      <w:r>
        <w:rPr>
          <w:rStyle w:val="Appelnotedebasdep"/>
        </w:rPr>
        <w:footnoteRef/>
      </w:r>
      <w:r w:rsidRPr="00BB1A94">
        <w:rPr>
          <w:lang w:val="fr-CA"/>
        </w:rPr>
        <w:t xml:space="preserve"> </w:t>
      </w:r>
      <w:r>
        <w:rPr>
          <w:lang w:val="fr-CA"/>
        </w:rPr>
        <w:tab/>
      </w:r>
      <w:r w:rsidRPr="00CA73D9">
        <w:rPr>
          <w:lang w:val="fr-CA"/>
        </w:rPr>
        <w:t>Civil Code of Québec, c. CCQ-1991, art. 21.</w:t>
      </w:r>
    </w:p>
  </w:footnote>
  <w:footnote w:id="8">
    <w:p w14:paraId="7447FC77" w14:textId="0E6BE0DF" w:rsidR="00CA73D9" w:rsidRPr="00CA73D9" w:rsidRDefault="00CA73D9">
      <w:pPr>
        <w:pStyle w:val="Notedebasdepage"/>
        <w:rPr>
          <w:lang w:val="fr-CA"/>
        </w:rPr>
      </w:pPr>
      <w:r>
        <w:rPr>
          <w:rStyle w:val="Appelnotedebasdep"/>
        </w:rPr>
        <w:footnoteRef/>
      </w:r>
      <w:r w:rsidRPr="00BB1A94">
        <w:rPr>
          <w:lang w:val="fr-CA"/>
        </w:rPr>
        <w:t xml:space="preserve"> </w:t>
      </w:r>
      <w:r>
        <w:rPr>
          <w:lang w:val="fr-CA"/>
        </w:rPr>
        <w:tab/>
      </w:r>
      <w:r w:rsidR="008E0CB4" w:rsidRPr="008E0CB4">
        <w:rPr>
          <w:rFonts w:ascii="Calibri" w:hAnsi="Calibri" w:cs="Calibri"/>
          <w:i/>
          <w:iCs/>
          <w:shd w:val="clear" w:color="auto" w:fill="FFFFFF"/>
          <w:lang w:val="fr-CA"/>
        </w:rPr>
        <w:t xml:space="preserve"> </w:t>
      </w:r>
      <w:r w:rsidR="008E0CB4" w:rsidRPr="007D5778">
        <w:rPr>
          <w:rStyle w:val="normaltextrun"/>
          <w:rFonts w:ascii="Calibri" w:hAnsi="Calibri" w:cs="Calibri"/>
          <w:i/>
          <w:iCs/>
          <w:shd w:val="clear" w:color="auto" w:fill="FFFFFF"/>
          <w:lang w:val="fr-CA"/>
        </w:rPr>
        <w:t>Avis sur les conditions d’exercice des comités d’éthique de la recherche désignés ou institués par le ministre de la Santé et des Services sociaux en vertu de l’article 21 du Code civil</w:t>
      </w:r>
      <w:r w:rsidR="008E0CB4" w:rsidRPr="007D5778">
        <w:rPr>
          <w:rStyle w:val="normaltextrun"/>
          <w:rFonts w:ascii="Calibri" w:hAnsi="Calibri" w:cs="Calibri"/>
          <w:shd w:val="clear" w:color="auto" w:fill="FFFFFF"/>
          <w:lang w:val="fr-CA"/>
        </w:rPr>
        <w:t xml:space="preserve">, </w:t>
      </w:r>
      <w:r w:rsidR="008E0CB4" w:rsidRPr="009A57D2">
        <w:rPr>
          <w:rStyle w:val="normaltextrun"/>
          <w:rFonts w:ascii="Calibri" w:hAnsi="Calibri" w:cs="Calibri"/>
          <w:i/>
          <w:iCs/>
          <w:shd w:val="clear" w:color="auto" w:fill="FFFFFF"/>
          <w:lang w:val="fr-CA"/>
        </w:rPr>
        <w:t>Gazette officielle du Québec</w:t>
      </w:r>
      <w:r w:rsidR="008E0CB4" w:rsidRPr="007D5778">
        <w:rPr>
          <w:rStyle w:val="normaltextrun"/>
          <w:rFonts w:ascii="Calibri" w:hAnsi="Calibri" w:cs="Calibri"/>
          <w:shd w:val="clear" w:color="auto" w:fill="FFFFFF"/>
          <w:lang w:val="fr-CA"/>
        </w:rPr>
        <w:t>, Part I, vol. 35, 1998, p. 1039</w:t>
      </w:r>
      <w:r w:rsidRPr="00CA73D9">
        <w:rPr>
          <w:lang w:val="fr-CA"/>
        </w:rPr>
        <w:t>.</w:t>
      </w:r>
    </w:p>
  </w:footnote>
  <w:footnote w:id="9">
    <w:p w14:paraId="08AD4F87" w14:textId="4962F149" w:rsidR="00CA73D9" w:rsidRPr="00BB1A94" w:rsidRDefault="00CA73D9">
      <w:pPr>
        <w:pStyle w:val="Notedebasdepage"/>
        <w:rPr>
          <w:lang w:val="en-US"/>
        </w:rPr>
      </w:pPr>
      <w:r>
        <w:rPr>
          <w:rStyle w:val="Appelnotedebasdep"/>
        </w:rPr>
        <w:footnoteRef/>
      </w:r>
      <w:r>
        <w:t xml:space="preserve"> </w:t>
      </w:r>
      <w:r>
        <w:tab/>
      </w:r>
      <w:r w:rsidRPr="00CA73D9">
        <w:t xml:space="preserve">TCPS2, </w:t>
      </w:r>
      <w:r w:rsidR="008E0CB4">
        <w:t xml:space="preserve">Application under </w:t>
      </w:r>
      <w:r w:rsidRPr="00CA73D9">
        <w:t>art. 6.12.</w:t>
      </w:r>
    </w:p>
  </w:footnote>
  <w:footnote w:id="10">
    <w:p w14:paraId="0FF92429" w14:textId="5F21597F" w:rsidR="00CA73D9" w:rsidRPr="00BB1A94" w:rsidRDefault="00CA73D9">
      <w:pPr>
        <w:pStyle w:val="Notedebasdepage"/>
        <w:rPr>
          <w:lang w:val="en-US"/>
        </w:rPr>
      </w:pPr>
      <w:r>
        <w:rPr>
          <w:rStyle w:val="Appelnotedebasdep"/>
        </w:rPr>
        <w:footnoteRef/>
      </w:r>
      <w:r>
        <w:t xml:space="preserve"> </w:t>
      </w:r>
      <w:r w:rsidRPr="00BB1A94">
        <w:rPr>
          <w:lang w:val="en-US"/>
        </w:rPr>
        <w:tab/>
        <w:t>Civil Code of Québec, c. CCQ-1991, art. 21.</w:t>
      </w:r>
    </w:p>
  </w:footnote>
  <w:footnote w:id="11">
    <w:p w14:paraId="63ECFA74" w14:textId="69535F7F" w:rsidR="00CA73D9" w:rsidRPr="00CA73D9" w:rsidRDefault="00CA73D9">
      <w:pPr>
        <w:pStyle w:val="Notedebasdepage"/>
        <w:rPr>
          <w:lang w:val="en-US"/>
        </w:rPr>
      </w:pPr>
      <w:r>
        <w:rPr>
          <w:rStyle w:val="Appelnotedebasdep"/>
        </w:rPr>
        <w:footnoteRef/>
      </w:r>
      <w:r>
        <w:t xml:space="preserve"> </w:t>
      </w:r>
      <w:r w:rsidRPr="00CA73D9">
        <w:rPr>
          <w:lang w:val="en-US"/>
        </w:rPr>
        <w:tab/>
      </w:r>
      <w:r w:rsidR="007904C8">
        <w:rPr>
          <w:lang w:val="en-US"/>
        </w:rPr>
        <w:t>Guidance Document:</w:t>
      </w:r>
      <w:r w:rsidRPr="00CA73D9">
        <w:rPr>
          <w:lang w:val="en-US"/>
        </w:rPr>
        <w:t xml:space="preserve"> Good Clinical Practice</w:t>
      </w:r>
      <w:r w:rsidR="007904C8">
        <w:rPr>
          <w:lang w:val="en-US"/>
        </w:rPr>
        <w:t>: Integrated Addendum to</w:t>
      </w:r>
      <w:r w:rsidRPr="00CA73D9">
        <w:rPr>
          <w:lang w:val="en-US"/>
        </w:rPr>
        <w:t xml:space="preserve"> E6(R1)</w:t>
      </w:r>
      <w:r w:rsidR="007904C8">
        <w:rPr>
          <w:lang w:val="en-US"/>
        </w:rPr>
        <w:t xml:space="preserve"> ICH Topic E6(R2)</w:t>
      </w:r>
      <w:r w:rsidRPr="00CA73D9">
        <w:rPr>
          <w:lang w:val="en-US"/>
        </w:rPr>
        <w:t xml:space="preserve">, Health Canada, </w:t>
      </w:r>
      <w:r w:rsidR="007904C8">
        <w:rPr>
          <w:lang w:val="en-US"/>
        </w:rPr>
        <w:t>April 2019</w:t>
      </w:r>
      <w:r w:rsidRPr="00CA73D9">
        <w:rPr>
          <w:lang w:val="en-US"/>
        </w:rPr>
        <w:t xml:space="preserve">, hereafter “ICH GCP”, s. 3.3.5; TCPS2, </w:t>
      </w:r>
      <w:r w:rsidR="007904C8">
        <w:rPr>
          <w:lang w:val="en-US"/>
        </w:rPr>
        <w:t xml:space="preserve">Application under </w:t>
      </w:r>
      <w:r w:rsidRPr="00CA73D9">
        <w:rPr>
          <w:lang w:val="en-US"/>
        </w:rPr>
        <w:t>art. 6.12.</w:t>
      </w:r>
    </w:p>
  </w:footnote>
  <w:footnote w:id="12">
    <w:p w14:paraId="155131E0" w14:textId="3E837084" w:rsidR="00CA73D9" w:rsidRPr="00BB1A94" w:rsidRDefault="00CA73D9">
      <w:pPr>
        <w:pStyle w:val="Notedebasdepage"/>
        <w:rPr>
          <w:lang w:val="en-US"/>
        </w:rPr>
      </w:pPr>
      <w:r>
        <w:rPr>
          <w:rStyle w:val="Appelnotedebasdep"/>
        </w:rPr>
        <w:footnoteRef/>
      </w:r>
      <w:r>
        <w:t xml:space="preserve"> </w:t>
      </w:r>
      <w:r w:rsidRPr="00BB1A94">
        <w:rPr>
          <w:lang w:val="en-US"/>
        </w:rPr>
        <w:tab/>
        <w:t xml:space="preserve">TCPS2, </w:t>
      </w:r>
      <w:r w:rsidR="007904C8" w:rsidRPr="009A57D2">
        <w:rPr>
          <w:i/>
          <w:iCs/>
          <w:lang w:val="en-US"/>
        </w:rPr>
        <w:t>Ibid</w:t>
      </w:r>
      <w:r w:rsidRPr="00BB1A94">
        <w:rPr>
          <w:lang w:val="en-US"/>
        </w:rPr>
        <w:t>.</w:t>
      </w:r>
    </w:p>
  </w:footnote>
  <w:footnote w:id="13">
    <w:p w14:paraId="66F309E8" w14:textId="53804893" w:rsidR="00CA73D9" w:rsidRPr="00BB1A94" w:rsidRDefault="00CA73D9">
      <w:pPr>
        <w:pStyle w:val="Notedebasdepage"/>
        <w:rPr>
          <w:lang w:val="en-US"/>
        </w:rPr>
      </w:pPr>
      <w:r>
        <w:rPr>
          <w:rStyle w:val="Appelnotedebasdep"/>
        </w:rPr>
        <w:footnoteRef/>
      </w:r>
      <w:r>
        <w:t xml:space="preserve"> </w:t>
      </w:r>
      <w:r w:rsidRPr="00BB1A94">
        <w:rPr>
          <w:lang w:val="en-US"/>
        </w:rPr>
        <w:tab/>
        <w:t xml:space="preserve">TCPS2, </w:t>
      </w:r>
      <w:r w:rsidR="00062AF3">
        <w:rPr>
          <w:i/>
          <w:iCs/>
          <w:lang w:val="en-US"/>
        </w:rPr>
        <w:t>Ibid</w:t>
      </w:r>
      <w:r w:rsidRPr="00BB1A94">
        <w:rPr>
          <w:lang w:val="en-US"/>
        </w:rPr>
        <w:t>.</w:t>
      </w:r>
    </w:p>
  </w:footnote>
  <w:footnote w:id="14">
    <w:p w14:paraId="14CFF794" w14:textId="7B6D1A52" w:rsidR="00CA73D9" w:rsidRPr="00BB1A94" w:rsidRDefault="00CA73D9">
      <w:pPr>
        <w:pStyle w:val="Notedebasdepage"/>
        <w:rPr>
          <w:lang w:val="en-US"/>
        </w:rPr>
      </w:pPr>
      <w:r>
        <w:rPr>
          <w:rStyle w:val="Appelnotedebasdep"/>
        </w:rPr>
        <w:footnoteRef/>
      </w:r>
      <w:r>
        <w:t xml:space="preserve"> </w:t>
      </w:r>
      <w:r w:rsidRPr="00BB1A94">
        <w:rPr>
          <w:lang w:val="en-US"/>
        </w:rPr>
        <w:tab/>
        <w:t xml:space="preserve">TCPS2, </w:t>
      </w:r>
      <w:r w:rsidR="00062AF3">
        <w:rPr>
          <w:i/>
          <w:iCs/>
          <w:lang w:val="en-US"/>
        </w:rPr>
        <w:t>Ibid</w:t>
      </w:r>
      <w:r w:rsidRPr="00BB1A94">
        <w:rPr>
          <w:lang w:val="en-US"/>
        </w:rPr>
        <w:t>.</w:t>
      </w:r>
    </w:p>
  </w:footnote>
  <w:footnote w:id="15">
    <w:p w14:paraId="0959AAA2" w14:textId="77777777" w:rsidR="00CA73D9" w:rsidRPr="00BB1A94" w:rsidRDefault="00CA73D9">
      <w:pPr>
        <w:pStyle w:val="Notedebasdepage"/>
        <w:rPr>
          <w:lang w:val="en-US"/>
        </w:rPr>
      </w:pPr>
      <w:r>
        <w:rPr>
          <w:rStyle w:val="Appelnotedebasdep"/>
        </w:rPr>
        <w:footnoteRef/>
      </w:r>
      <w:r>
        <w:t xml:space="preserve"> </w:t>
      </w:r>
      <w:r w:rsidRPr="00BB1A94">
        <w:rPr>
          <w:lang w:val="en-US"/>
        </w:rPr>
        <w:tab/>
        <w:t>ICH GCP, s. 3.3.5.</w:t>
      </w:r>
    </w:p>
  </w:footnote>
  <w:footnote w:id="16">
    <w:p w14:paraId="4FF3AF5D" w14:textId="52292BBC" w:rsidR="00CA73D9" w:rsidRPr="00BB1A94" w:rsidRDefault="00CA73D9">
      <w:pPr>
        <w:pStyle w:val="Notedebasdepage"/>
        <w:rPr>
          <w:lang w:val="en-US"/>
        </w:rPr>
      </w:pPr>
      <w:r>
        <w:rPr>
          <w:rStyle w:val="Appelnotedebasdep"/>
        </w:rPr>
        <w:footnoteRef/>
      </w:r>
      <w:r>
        <w:t xml:space="preserve"> </w:t>
      </w:r>
      <w:r w:rsidRPr="00BB1A94">
        <w:rPr>
          <w:lang w:val="en-US"/>
        </w:rPr>
        <w:tab/>
        <w:t xml:space="preserve">TDR, s. 6.3; TCPS2, </w:t>
      </w:r>
      <w:r w:rsidR="00062AF3">
        <w:rPr>
          <w:lang w:val="en-US"/>
        </w:rPr>
        <w:t xml:space="preserve">Application under </w:t>
      </w:r>
      <w:r w:rsidRPr="00BB1A94">
        <w:rPr>
          <w:lang w:val="en-US"/>
        </w:rPr>
        <w:t>art. 6.12.</w:t>
      </w:r>
    </w:p>
  </w:footnote>
  <w:footnote w:id="17">
    <w:p w14:paraId="529B6A8F" w14:textId="2397C3B6" w:rsidR="00CA73D9" w:rsidRPr="00BB1A94" w:rsidRDefault="00CA73D9">
      <w:pPr>
        <w:pStyle w:val="Notedebasdepage"/>
        <w:rPr>
          <w:lang w:val="en-US"/>
        </w:rPr>
      </w:pPr>
      <w:r>
        <w:rPr>
          <w:rStyle w:val="Appelnotedebasdep"/>
        </w:rPr>
        <w:footnoteRef/>
      </w:r>
      <w:r>
        <w:t xml:space="preserve"> </w:t>
      </w:r>
      <w:r w:rsidRPr="00BB1A94">
        <w:rPr>
          <w:lang w:val="en-US"/>
        </w:rPr>
        <w:tab/>
        <w:t xml:space="preserve">TCPS2, </w:t>
      </w:r>
      <w:r w:rsidR="00062AF3">
        <w:rPr>
          <w:i/>
          <w:iCs/>
          <w:lang w:val="en-US"/>
        </w:rPr>
        <w:t>Ibid</w:t>
      </w:r>
      <w:r w:rsidRPr="00BB1A94">
        <w:rPr>
          <w:lang w:val="en-US"/>
        </w:rPr>
        <w:t>.</w:t>
      </w:r>
    </w:p>
  </w:footnote>
  <w:footnote w:id="18">
    <w:p w14:paraId="2F53DFBE" w14:textId="55DA23B1" w:rsidR="00CA73D9" w:rsidRPr="00BB1A94" w:rsidRDefault="00CA73D9">
      <w:pPr>
        <w:pStyle w:val="Notedebasdepage"/>
        <w:rPr>
          <w:lang w:val="en-US"/>
        </w:rPr>
      </w:pPr>
      <w:r>
        <w:rPr>
          <w:rStyle w:val="Appelnotedebasdep"/>
        </w:rPr>
        <w:footnoteRef/>
      </w:r>
      <w:r>
        <w:t xml:space="preserve"> </w:t>
      </w:r>
      <w:r w:rsidRPr="00CA73D9">
        <w:tab/>
        <w:t xml:space="preserve">TCPS2, </w:t>
      </w:r>
      <w:r w:rsidR="00062AF3">
        <w:t xml:space="preserve">Application under </w:t>
      </w:r>
      <w:r w:rsidRPr="00CA73D9">
        <w:t>art. 6.12.</w:t>
      </w:r>
    </w:p>
  </w:footnote>
  <w:footnote w:id="19">
    <w:p w14:paraId="3FBB562A" w14:textId="5999071F" w:rsidR="00CA73D9" w:rsidRPr="00CA73D9" w:rsidRDefault="00CA73D9">
      <w:pPr>
        <w:pStyle w:val="Notedebasdepage"/>
        <w:rPr>
          <w:lang w:val="en-US"/>
        </w:rPr>
      </w:pPr>
      <w:r>
        <w:rPr>
          <w:rStyle w:val="Appelnotedebasdep"/>
        </w:rPr>
        <w:footnoteRef/>
      </w:r>
      <w:r>
        <w:t xml:space="preserve"> </w:t>
      </w:r>
      <w:r w:rsidRPr="00CA73D9">
        <w:rPr>
          <w:lang w:val="en-US"/>
        </w:rPr>
        <w:tab/>
        <w:t>TCPS2, art. 6.5</w:t>
      </w:r>
      <w:r w:rsidR="00062AF3">
        <w:rPr>
          <w:lang w:val="en-US"/>
        </w:rPr>
        <w:t xml:space="preserve"> and application</w:t>
      </w:r>
      <w:r w:rsidRPr="00CA73D9">
        <w:rPr>
          <w:lang w:val="en-US"/>
        </w:rPr>
        <w:t>; TDR, s. 4.6; ICH GCP, s. 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BE71"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7BEBDB07" w14:textId="77777777" w:rsidTr="58B8826E">
      <w:trPr>
        <w:trHeight w:val="567"/>
      </w:trPr>
      <w:tc>
        <w:tcPr>
          <w:tcW w:w="4957" w:type="dxa"/>
          <w:vMerge w:val="restart"/>
          <w:tcBorders>
            <w:right w:val="single" w:sz="4" w:space="0" w:color="auto"/>
          </w:tcBorders>
          <w:shd w:val="clear" w:color="auto" w:fill="auto"/>
          <w:vAlign w:val="center"/>
        </w:tcPr>
        <w:p w14:paraId="31C5AF45" w14:textId="4E13F84C"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7E1C915" w14:textId="4B246C9B"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D70254" w:rsidRPr="00D70254">
            <w:rPr>
              <w:sz w:val="32"/>
              <w:szCs w:val="32"/>
              <w:lang w:val="en-US"/>
            </w:rPr>
            <w:t>402</w:t>
          </w:r>
          <w:r w:rsidR="007904C8">
            <w:rPr>
              <w:sz w:val="32"/>
              <w:szCs w:val="32"/>
              <w:lang w:val="en-US"/>
            </w:rPr>
            <w:t>-002</w:t>
          </w:r>
        </w:p>
      </w:tc>
    </w:tr>
    <w:tr w:rsidR="0030269A" w:rsidRPr="005A11F5" w14:paraId="69A56B80" w14:textId="77777777" w:rsidTr="58B8826E">
      <w:trPr>
        <w:trHeight w:val="567"/>
      </w:trPr>
      <w:tc>
        <w:tcPr>
          <w:tcW w:w="4957" w:type="dxa"/>
          <w:vMerge/>
        </w:tcPr>
        <w:p w14:paraId="223EA8C9"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8DDE9A1" w14:textId="77777777" w:rsidR="0030269A" w:rsidRPr="002F7EC5" w:rsidRDefault="0030269A" w:rsidP="0030269A">
          <w:pPr>
            <w:spacing w:before="0" w:after="0"/>
            <w:jc w:val="right"/>
            <w:rPr>
              <w:lang w:val="en-US"/>
            </w:rPr>
          </w:pPr>
          <w:r w:rsidRPr="002F7EC5">
            <w:rPr>
              <w:lang w:val="en-US"/>
            </w:rPr>
            <w:t>Research Ethics Board</w:t>
          </w:r>
        </w:p>
        <w:p w14:paraId="5458B1AF" w14:textId="77777777" w:rsidR="0030269A" w:rsidRPr="002F7EC5" w:rsidRDefault="0030269A" w:rsidP="0030269A">
          <w:pPr>
            <w:spacing w:before="0" w:after="0"/>
            <w:jc w:val="right"/>
            <w:rPr>
              <w:lang w:val="en-US"/>
            </w:rPr>
          </w:pPr>
          <w:r w:rsidRPr="002F7EC5">
            <w:rPr>
              <w:lang w:val="en-US"/>
            </w:rPr>
            <w:t>Standard Operating Procedure</w:t>
          </w:r>
        </w:p>
      </w:tc>
    </w:tr>
  </w:tbl>
  <w:p w14:paraId="0A1A010B" w14:textId="77777777" w:rsidR="0030269A" w:rsidRPr="002F7EC5" w:rsidRDefault="0030269A" w:rsidP="0030269A">
    <w:pPr>
      <w:pStyle w:val="En-tte"/>
      <w:rPr>
        <w:lang w:val="en-US"/>
      </w:rPr>
    </w:pPr>
  </w:p>
  <w:p w14:paraId="22A6B9EC"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AD8E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29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5C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0D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A54D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C85498"/>
    <w:multiLevelType w:val="multilevel"/>
    <w:tmpl w:val="1E10BA82"/>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48736AC"/>
    <w:multiLevelType w:val="hybridMultilevel"/>
    <w:tmpl w:val="559E27FA"/>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6"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4C62E09"/>
    <w:multiLevelType w:val="hybridMultilevel"/>
    <w:tmpl w:val="B9767AA2"/>
    <w:lvl w:ilvl="0" w:tplc="2382BC60">
      <w:start w:val="1"/>
      <w:numFmt w:val="lowerLetter"/>
      <w:pStyle w:val="SOPBulletC"/>
      <w:lvlText w:val="%1)"/>
      <w:lvlJc w:val="left"/>
      <w:pPr>
        <w:ind w:left="1211"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3715A1"/>
    <w:multiLevelType w:val="multilevel"/>
    <w:tmpl w:val="040C001D"/>
    <w:numStyleLink w:val="SOPListeHyrarchise"/>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406024520">
    <w:abstractNumId w:val="16"/>
  </w:num>
  <w:num w:numId="2" w16cid:durableId="1252084426">
    <w:abstractNumId w:val="21"/>
  </w:num>
  <w:num w:numId="3" w16cid:durableId="1138960686">
    <w:abstractNumId w:val="24"/>
  </w:num>
  <w:num w:numId="4" w16cid:durableId="1433278841">
    <w:abstractNumId w:val="4"/>
  </w:num>
  <w:num w:numId="5" w16cid:durableId="1970821665">
    <w:abstractNumId w:val="5"/>
  </w:num>
  <w:num w:numId="6" w16cid:durableId="224339816">
    <w:abstractNumId w:val="6"/>
  </w:num>
  <w:num w:numId="7" w16cid:durableId="289361856">
    <w:abstractNumId w:val="7"/>
  </w:num>
  <w:num w:numId="8" w16cid:durableId="869493229">
    <w:abstractNumId w:val="9"/>
  </w:num>
  <w:num w:numId="9" w16cid:durableId="1457213139">
    <w:abstractNumId w:val="0"/>
  </w:num>
  <w:num w:numId="10" w16cid:durableId="1536429996">
    <w:abstractNumId w:val="1"/>
  </w:num>
  <w:num w:numId="11" w16cid:durableId="1157844549">
    <w:abstractNumId w:val="2"/>
  </w:num>
  <w:num w:numId="12" w16cid:durableId="1862429439">
    <w:abstractNumId w:val="3"/>
  </w:num>
  <w:num w:numId="13" w16cid:durableId="1949510236">
    <w:abstractNumId w:val="8"/>
  </w:num>
  <w:num w:numId="14" w16cid:durableId="372735035">
    <w:abstractNumId w:val="20"/>
  </w:num>
  <w:num w:numId="15" w16cid:durableId="2046252342">
    <w:abstractNumId w:val="19"/>
  </w:num>
  <w:num w:numId="16" w16cid:durableId="429089171">
    <w:abstractNumId w:val="11"/>
  </w:num>
  <w:num w:numId="17" w16cid:durableId="904805303">
    <w:abstractNumId w:val="10"/>
  </w:num>
  <w:num w:numId="18" w16cid:durableId="9380502">
    <w:abstractNumId w:val="23"/>
  </w:num>
  <w:num w:numId="19" w16cid:durableId="1452896126">
    <w:abstractNumId w:val="17"/>
  </w:num>
  <w:num w:numId="20" w16cid:durableId="1237474553">
    <w:abstractNumId w:val="13"/>
  </w:num>
  <w:num w:numId="21" w16cid:durableId="1495796979">
    <w:abstractNumId w:val="12"/>
  </w:num>
  <w:num w:numId="22" w16cid:durableId="1588848">
    <w:abstractNumId w:val="22"/>
  </w:num>
  <w:num w:numId="23" w16cid:durableId="1235118502">
    <w:abstractNumId w:val="18"/>
  </w:num>
  <w:num w:numId="24" w16cid:durableId="736821750">
    <w:abstractNumId w:val="14"/>
  </w:num>
  <w:num w:numId="25" w16cid:durableId="1949265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4E"/>
    <w:rsid w:val="00002DE6"/>
    <w:rsid w:val="00012A3D"/>
    <w:rsid w:val="00017B38"/>
    <w:rsid w:val="0002610A"/>
    <w:rsid w:val="00062AF3"/>
    <w:rsid w:val="000731F7"/>
    <w:rsid w:val="001B6A79"/>
    <w:rsid w:val="00226DCF"/>
    <w:rsid w:val="00236302"/>
    <w:rsid w:val="00281377"/>
    <w:rsid w:val="00283978"/>
    <w:rsid w:val="0028581A"/>
    <w:rsid w:val="002B5BA5"/>
    <w:rsid w:val="002B5EA6"/>
    <w:rsid w:val="002D4258"/>
    <w:rsid w:val="002E18ED"/>
    <w:rsid w:val="002E750D"/>
    <w:rsid w:val="0030269A"/>
    <w:rsid w:val="00302BF0"/>
    <w:rsid w:val="0032222C"/>
    <w:rsid w:val="0033241C"/>
    <w:rsid w:val="003749E5"/>
    <w:rsid w:val="00381E3D"/>
    <w:rsid w:val="00386EA4"/>
    <w:rsid w:val="003C1F69"/>
    <w:rsid w:val="00407B78"/>
    <w:rsid w:val="004374F7"/>
    <w:rsid w:val="00444D39"/>
    <w:rsid w:val="00457315"/>
    <w:rsid w:val="00542A47"/>
    <w:rsid w:val="0059613B"/>
    <w:rsid w:val="005A11F5"/>
    <w:rsid w:val="005E2CE1"/>
    <w:rsid w:val="005E7F03"/>
    <w:rsid w:val="00601C6C"/>
    <w:rsid w:val="00660163"/>
    <w:rsid w:val="006679F4"/>
    <w:rsid w:val="0069284E"/>
    <w:rsid w:val="006A4376"/>
    <w:rsid w:val="007444E4"/>
    <w:rsid w:val="00753239"/>
    <w:rsid w:val="00756C58"/>
    <w:rsid w:val="007675FA"/>
    <w:rsid w:val="007904C8"/>
    <w:rsid w:val="007A0FBD"/>
    <w:rsid w:val="007A23FE"/>
    <w:rsid w:val="00802035"/>
    <w:rsid w:val="00802F4C"/>
    <w:rsid w:val="00816430"/>
    <w:rsid w:val="00861AE8"/>
    <w:rsid w:val="008729A6"/>
    <w:rsid w:val="008A4F92"/>
    <w:rsid w:val="008A587F"/>
    <w:rsid w:val="008E0CB4"/>
    <w:rsid w:val="008E5297"/>
    <w:rsid w:val="008F4B93"/>
    <w:rsid w:val="009754E0"/>
    <w:rsid w:val="00983994"/>
    <w:rsid w:val="00986A54"/>
    <w:rsid w:val="009A57D2"/>
    <w:rsid w:val="00A26CA7"/>
    <w:rsid w:val="00A313CE"/>
    <w:rsid w:val="00A967C9"/>
    <w:rsid w:val="00AB13FF"/>
    <w:rsid w:val="00B43B4B"/>
    <w:rsid w:val="00B66BD6"/>
    <w:rsid w:val="00B66EA8"/>
    <w:rsid w:val="00BB1A94"/>
    <w:rsid w:val="00BE0AD7"/>
    <w:rsid w:val="00CA0107"/>
    <w:rsid w:val="00CA73D9"/>
    <w:rsid w:val="00CE63B7"/>
    <w:rsid w:val="00D14E15"/>
    <w:rsid w:val="00D70254"/>
    <w:rsid w:val="00D801D5"/>
    <w:rsid w:val="00DC2BA3"/>
    <w:rsid w:val="00E428CC"/>
    <w:rsid w:val="00E83DF3"/>
    <w:rsid w:val="00EC101E"/>
    <w:rsid w:val="00EC34C7"/>
    <w:rsid w:val="00EC6FBF"/>
    <w:rsid w:val="00F443B2"/>
    <w:rsid w:val="00F505A8"/>
    <w:rsid w:val="00FC636C"/>
    <w:rsid w:val="00FD55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FD60"/>
  <w14:defaultImageDpi w14:val="32767"/>
  <w15:chartTrackingRefBased/>
  <w15:docId w15:val="{23FE7AE9-37F4-4FB6-9569-D2C053E5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0107"/>
    <w:pPr>
      <w:spacing w:before="240" w:after="240"/>
      <w:jc w:val="both"/>
    </w:pPr>
    <w:rPr>
      <w:sz w:val="22"/>
      <w:szCs w:val="22"/>
      <w:lang w:val="en-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5E7F03"/>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uiPriority w:val="99"/>
    <w:rsid w:val="005A11F5"/>
    <w:rPr>
      <w:rFonts w:cs="Times New Roman (Corps CS)"/>
      <w:sz w:val="20"/>
      <w:szCs w:val="20"/>
      <w:lang w:val="fr-CA"/>
    </w:rPr>
  </w:style>
  <w:style w:type="character" w:styleId="Appelnotedebasdep">
    <w:name w:val="footnote reference"/>
    <w:basedOn w:val="Policepardfaut"/>
    <w:uiPriority w:val="99"/>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CA73D9"/>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CA73D9"/>
    <w:rPr>
      <w:rFonts w:ascii="Arial" w:eastAsia="Times New Roman" w:hAnsi="Arial" w:cs="Times New Roman"/>
      <w:lang w:val="en-US"/>
    </w:rPr>
  </w:style>
  <w:style w:type="character" w:customStyle="1" w:styleId="normaltextrun">
    <w:name w:val="normaltextrun"/>
    <w:basedOn w:val="Policepardfaut"/>
    <w:rsid w:val="008E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378F0-23E9-4B53-8C30-26DE30EB2413}">
  <ds:schemaRefs>
    <ds:schemaRef ds:uri="http://schemas.openxmlformats.org/officeDocument/2006/bibliography"/>
  </ds:schemaRefs>
</ds:datastoreItem>
</file>

<file path=customXml/itemProps2.xml><?xml version="1.0" encoding="utf-8"?>
<ds:datastoreItem xmlns:ds="http://schemas.openxmlformats.org/officeDocument/2006/customXml" ds:itemID="{5648F780-4618-45EA-A033-30E7857D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28E66-9239-4623-AC98-C15AF9B82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68</TotalTime>
  <Pages>5</Pages>
  <Words>1128</Words>
  <Characters>6207</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19</cp:revision>
  <dcterms:created xsi:type="dcterms:W3CDTF">2019-06-12T22:12:00Z</dcterms:created>
  <dcterms:modified xsi:type="dcterms:W3CDTF">2023-11-21T21:36:00Z</dcterms:modified>
</cp:coreProperties>
</file>