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6D644" w14:textId="68A1ABF5" w:rsidR="0030269A" w:rsidRPr="004272D3" w:rsidRDefault="0030269A" w:rsidP="00D53438">
      <w:pPr>
        <w:spacing w:before="0" w:after="0"/>
      </w:pPr>
    </w:p>
    <w:p w14:paraId="2B9B5A1A" w14:textId="77777777" w:rsidR="00A2656F" w:rsidRPr="004272D3" w:rsidRDefault="00A2656F" w:rsidP="00D53438">
      <w:pPr>
        <w:spacing w:before="0" w:after="0"/>
      </w:pPr>
    </w:p>
    <w:tbl>
      <w:tblPr>
        <w:tblStyle w:val="Grilledutableau"/>
        <w:tblW w:w="0" w:type="auto"/>
        <w:tblLook w:val="04A0" w:firstRow="1" w:lastRow="0" w:firstColumn="1" w:lastColumn="0" w:noHBand="0" w:noVBand="1"/>
      </w:tblPr>
      <w:tblGrid>
        <w:gridCol w:w="3325"/>
        <w:gridCol w:w="6745"/>
      </w:tblGrid>
      <w:tr w:rsidR="0030269A" w:rsidRPr="004272D3" w14:paraId="6C4309E4" w14:textId="77777777" w:rsidTr="00012A3D">
        <w:tc>
          <w:tcPr>
            <w:tcW w:w="3325" w:type="dxa"/>
          </w:tcPr>
          <w:p w14:paraId="1CA69957" w14:textId="77777777" w:rsidR="0030269A" w:rsidRPr="004272D3" w:rsidRDefault="0030269A" w:rsidP="00D53438">
            <w:pPr>
              <w:spacing w:before="60" w:after="60"/>
              <w:rPr>
                <w:b/>
              </w:rPr>
            </w:pPr>
            <w:r w:rsidRPr="004272D3">
              <w:rPr>
                <w:b/>
              </w:rPr>
              <w:t>Title</w:t>
            </w:r>
          </w:p>
        </w:tc>
        <w:tc>
          <w:tcPr>
            <w:tcW w:w="6745" w:type="dxa"/>
          </w:tcPr>
          <w:p w14:paraId="3E555FA5" w14:textId="77777777" w:rsidR="0030269A" w:rsidRPr="004272D3" w:rsidRDefault="00D07034" w:rsidP="00D53438">
            <w:pPr>
              <w:spacing w:before="60" w:after="60"/>
            </w:pPr>
            <w:r w:rsidRPr="004272D3">
              <w:t>REB Review Decisions</w:t>
            </w:r>
          </w:p>
        </w:tc>
      </w:tr>
      <w:tr w:rsidR="0030269A" w:rsidRPr="004272D3" w14:paraId="4CE0CA5F" w14:textId="77777777" w:rsidTr="00012A3D">
        <w:tc>
          <w:tcPr>
            <w:tcW w:w="3325" w:type="dxa"/>
          </w:tcPr>
          <w:p w14:paraId="62DF5E92" w14:textId="77777777" w:rsidR="0030269A" w:rsidRPr="004272D3" w:rsidRDefault="58B8826E" w:rsidP="00D53438">
            <w:pPr>
              <w:spacing w:before="60" w:after="60"/>
              <w:rPr>
                <w:b/>
                <w:bCs/>
              </w:rPr>
            </w:pPr>
            <w:r w:rsidRPr="004272D3">
              <w:rPr>
                <w:b/>
                <w:bCs/>
              </w:rPr>
              <w:t>SOP Code</w:t>
            </w:r>
          </w:p>
        </w:tc>
        <w:tc>
          <w:tcPr>
            <w:tcW w:w="6745" w:type="dxa"/>
          </w:tcPr>
          <w:p w14:paraId="2E3BF2DD" w14:textId="121F7D00" w:rsidR="0030269A" w:rsidRPr="004272D3" w:rsidRDefault="58B8826E" w:rsidP="00D53438">
            <w:pPr>
              <w:spacing w:before="60" w:after="60"/>
            </w:pPr>
            <w:r w:rsidRPr="004272D3">
              <w:t>REB</w:t>
            </w:r>
            <w:r w:rsidR="00660163" w:rsidRPr="004272D3">
              <w:t>-</w:t>
            </w:r>
            <w:r w:rsidRPr="004272D3">
              <w:t>SOP</w:t>
            </w:r>
            <w:r w:rsidR="00012A3D" w:rsidRPr="004272D3">
              <w:t xml:space="preserve"> </w:t>
            </w:r>
            <w:r w:rsidR="00D07034" w:rsidRPr="004272D3">
              <w:t>401</w:t>
            </w:r>
            <w:r w:rsidR="00C36F0E" w:rsidRPr="004272D3">
              <w:t>-002</w:t>
            </w:r>
          </w:p>
        </w:tc>
      </w:tr>
      <w:tr w:rsidR="0030269A" w:rsidRPr="004272D3" w14:paraId="521B55F3" w14:textId="77777777" w:rsidTr="00012A3D">
        <w:tc>
          <w:tcPr>
            <w:tcW w:w="3325" w:type="dxa"/>
          </w:tcPr>
          <w:p w14:paraId="66C0804B" w14:textId="77777777" w:rsidR="0030269A" w:rsidRPr="004272D3" w:rsidRDefault="0030269A" w:rsidP="00D53438">
            <w:pPr>
              <w:spacing w:before="60" w:after="60"/>
              <w:rPr>
                <w:b/>
              </w:rPr>
            </w:pPr>
            <w:r w:rsidRPr="004272D3">
              <w:rPr>
                <w:b/>
              </w:rPr>
              <w:t>N2/CAREB SOP CODE</w:t>
            </w:r>
          </w:p>
        </w:tc>
        <w:tc>
          <w:tcPr>
            <w:tcW w:w="6745" w:type="dxa"/>
          </w:tcPr>
          <w:p w14:paraId="020698AA" w14:textId="1055AEB7" w:rsidR="0030269A" w:rsidRPr="004272D3" w:rsidRDefault="0030269A" w:rsidP="00D53438">
            <w:pPr>
              <w:spacing w:before="60" w:after="60"/>
            </w:pPr>
            <w:r w:rsidRPr="004272D3">
              <w:t>SOP</w:t>
            </w:r>
            <w:r w:rsidR="005A11F5" w:rsidRPr="004272D3">
              <w:t xml:space="preserve"> </w:t>
            </w:r>
            <w:r w:rsidR="00D07034" w:rsidRPr="004272D3">
              <w:t>40</w:t>
            </w:r>
            <w:r w:rsidR="004F3ECA" w:rsidRPr="004272D3">
              <w:t>2</w:t>
            </w:r>
            <w:r w:rsidR="00C36F0E" w:rsidRPr="004272D3">
              <w:t>-003</w:t>
            </w:r>
          </w:p>
        </w:tc>
      </w:tr>
      <w:tr w:rsidR="0030269A" w:rsidRPr="004272D3" w14:paraId="7AE3A4B4" w14:textId="77777777" w:rsidTr="00012A3D">
        <w:tc>
          <w:tcPr>
            <w:tcW w:w="3325" w:type="dxa"/>
          </w:tcPr>
          <w:p w14:paraId="7DBD1ADA" w14:textId="77777777" w:rsidR="0030269A" w:rsidRPr="004272D3" w:rsidRDefault="0030269A" w:rsidP="00D53438">
            <w:pPr>
              <w:spacing w:before="60" w:after="60"/>
              <w:rPr>
                <w:b/>
              </w:rPr>
            </w:pPr>
            <w:r w:rsidRPr="004272D3">
              <w:rPr>
                <w:b/>
              </w:rPr>
              <w:t>Effective Date</w:t>
            </w:r>
          </w:p>
        </w:tc>
        <w:tc>
          <w:tcPr>
            <w:tcW w:w="6745" w:type="dxa"/>
          </w:tcPr>
          <w:p w14:paraId="5ABC0A4A" w14:textId="77777777" w:rsidR="0030269A" w:rsidRPr="004272D3" w:rsidRDefault="0030269A" w:rsidP="00D53438">
            <w:pPr>
              <w:spacing w:before="60" w:after="60"/>
            </w:pPr>
            <w:r w:rsidRPr="004272D3">
              <w:rPr>
                <w:highlight w:val="yellow"/>
              </w:rPr>
              <w:t>YYYY-MM-DD</w:t>
            </w:r>
          </w:p>
        </w:tc>
      </w:tr>
    </w:tbl>
    <w:p w14:paraId="0A3275D8" w14:textId="77777777" w:rsidR="0030269A" w:rsidRPr="004272D3" w:rsidRDefault="0030269A" w:rsidP="00D53438"/>
    <w:tbl>
      <w:tblPr>
        <w:tblStyle w:val="Grilledutableau"/>
        <w:tblW w:w="0" w:type="auto"/>
        <w:tblLook w:val="04A0" w:firstRow="1" w:lastRow="0" w:firstColumn="1" w:lastColumn="0" w:noHBand="0" w:noVBand="1"/>
      </w:tblPr>
      <w:tblGrid>
        <w:gridCol w:w="3325"/>
        <w:gridCol w:w="4467"/>
        <w:gridCol w:w="2206"/>
      </w:tblGrid>
      <w:tr w:rsidR="0030269A" w:rsidRPr="004272D3" w14:paraId="5B000039" w14:textId="77777777" w:rsidTr="00012A3D">
        <w:tc>
          <w:tcPr>
            <w:tcW w:w="3325" w:type="dxa"/>
            <w:shd w:val="clear" w:color="auto" w:fill="D9D9D9" w:themeFill="background1" w:themeFillShade="D9"/>
          </w:tcPr>
          <w:p w14:paraId="4CDF9B09" w14:textId="77777777" w:rsidR="0030269A" w:rsidRPr="004272D3" w:rsidRDefault="0030269A" w:rsidP="00D53438">
            <w:pPr>
              <w:spacing w:before="60" w:after="60"/>
              <w:jc w:val="center"/>
              <w:rPr>
                <w:b/>
              </w:rPr>
            </w:pPr>
            <w:r w:rsidRPr="004272D3">
              <w:rPr>
                <w:b/>
              </w:rPr>
              <w:t>Status</w:t>
            </w:r>
          </w:p>
        </w:tc>
        <w:tc>
          <w:tcPr>
            <w:tcW w:w="4467" w:type="dxa"/>
            <w:shd w:val="clear" w:color="auto" w:fill="D9D9D9" w:themeFill="background1" w:themeFillShade="D9"/>
          </w:tcPr>
          <w:p w14:paraId="394B919F" w14:textId="77777777" w:rsidR="0030269A" w:rsidRPr="004272D3" w:rsidRDefault="0030269A" w:rsidP="00D53438">
            <w:pPr>
              <w:spacing w:before="60" w:after="60"/>
              <w:jc w:val="center"/>
              <w:rPr>
                <w:b/>
              </w:rPr>
            </w:pPr>
            <w:r w:rsidRPr="004272D3">
              <w:rPr>
                <w:b/>
              </w:rPr>
              <w:t>Name and Title</w:t>
            </w:r>
          </w:p>
        </w:tc>
        <w:tc>
          <w:tcPr>
            <w:tcW w:w="2206" w:type="dxa"/>
            <w:shd w:val="clear" w:color="auto" w:fill="D9D9D9" w:themeFill="background1" w:themeFillShade="D9"/>
          </w:tcPr>
          <w:p w14:paraId="231E4313" w14:textId="77777777" w:rsidR="0030269A" w:rsidRPr="004272D3" w:rsidRDefault="0030269A" w:rsidP="00D53438">
            <w:pPr>
              <w:spacing w:before="60" w:after="60"/>
              <w:jc w:val="center"/>
              <w:rPr>
                <w:b/>
              </w:rPr>
            </w:pPr>
            <w:r w:rsidRPr="004272D3">
              <w:rPr>
                <w:b/>
              </w:rPr>
              <w:t>Date</w:t>
            </w:r>
          </w:p>
        </w:tc>
      </w:tr>
      <w:tr w:rsidR="0030269A" w:rsidRPr="004272D3" w14:paraId="0C3CDCF5" w14:textId="77777777" w:rsidTr="00012A3D">
        <w:tc>
          <w:tcPr>
            <w:tcW w:w="3325" w:type="dxa"/>
          </w:tcPr>
          <w:p w14:paraId="2A15801F" w14:textId="77777777" w:rsidR="0030269A" w:rsidRPr="004272D3" w:rsidRDefault="00012A3D" w:rsidP="00D53438">
            <w:pPr>
              <w:spacing w:before="60" w:after="60"/>
              <w:jc w:val="left"/>
              <w:rPr>
                <w:b/>
                <w:i/>
                <w:highlight w:val="yellow"/>
              </w:rPr>
            </w:pPr>
            <w:r w:rsidRPr="004272D3">
              <w:rPr>
                <w:b/>
                <w:i/>
              </w:rPr>
              <w:t>Author of Harmonized Template</w:t>
            </w:r>
          </w:p>
        </w:tc>
        <w:tc>
          <w:tcPr>
            <w:tcW w:w="4467" w:type="dxa"/>
          </w:tcPr>
          <w:p w14:paraId="15E0F0F1" w14:textId="421C6EFC" w:rsidR="0030269A" w:rsidRPr="004272D3" w:rsidRDefault="00C36F0E" w:rsidP="00D53438">
            <w:pPr>
              <w:spacing w:before="60" w:after="60"/>
            </w:pPr>
            <w:r w:rsidRPr="004272D3">
              <w:t>REB</w:t>
            </w:r>
            <w:r w:rsidR="00507CE8" w:rsidRPr="004272D3">
              <w:t xml:space="preserve"> </w:t>
            </w:r>
            <w:r w:rsidR="00012A3D" w:rsidRPr="004272D3">
              <w:t>SOPs</w:t>
            </w:r>
            <w:r w:rsidRPr="004272D3">
              <w:t xml:space="preserve"> developed by CATALIS Network</w:t>
            </w:r>
          </w:p>
        </w:tc>
        <w:tc>
          <w:tcPr>
            <w:tcW w:w="2206" w:type="dxa"/>
          </w:tcPr>
          <w:p w14:paraId="7188128F" w14:textId="57DA7E7B" w:rsidR="0030269A" w:rsidRPr="004272D3" w:rsidRDefault="00C36F0E" w:rsidP="00D53438">
            <w:pPr>
              <w:spacing w:before="60" w:after="60"/>
              <w:jc w:val="center"/>
            </w:pPr>
            <w:r w:rsidRPr="004272D3">
              <w:t>2023-05-01</w:t>
            </w:r>
          </w:p>
        </w:tc>
      </w:tr>
      <w:tr w:rsidR="005A11F5" w:rsidRPr="004272D3" w14:paraId="004134AC" w14:textId="77777777" w:rsidTr="00012A3D">
        <w:tc>
          <w:tcPr>
            <w:tcW w:w="3325" w:type="dxa"/>
          </w:tcPr>
          <w:p w14:paraId="15F550CA" w14:textId="77777777" w:rsidR="005A11F5" w:rsidRPr="004272D3" w:rsidRDefault="005A11F5" w:rsidP="00D53438">
            <w:pPr>
              <w:spacing w:before="60" w:after="60"/>
              <w:rPr>
                <w:b/>
                <w:i/>
                <w:highlight w:val="yellow"/>
              </w:rPr>
            </w:pPr>
            <w:r w:rsidRPr="004272D3">
              <w:rPr>
                <w:b/>
                <w:i/>
              </w:rPr>
              <w:t>Approved</w:t>
            </w:r>
          </w:p>
        </w:tc>
        <w:tc>
          <w:tcPr>
            <w:tcW w:w="4467" w:type="dxa"/>
          </w:tcPr>
          <w:p w14:paraId="7F29082E" w14:textId="4D5EC966" w:rsidR="005A11F5" w:rsidRPr="004272D3" w:rsidRDefault="008F4B93" w:rsidP="00D53438">
            <w:pPr>
              <w:spacing w:before="60" w:after="60"/>
            </w:pPr>
            <w:r w:rsidRPr="004272D3">
              <w:t>REB Full Board Meeting XXX</w:t>
            </w:r>
          </w:p>
        </w:tc>
        <w:tc>
          <w:tcPr>
            <w:tcW w:w="2206" w:type="dxa"/>
          </w:tcPr>
          <w:p w14:paraId="642BD2C1" w14:textId="77777777" w:rsidR="005A11F5" w:rsidRPr="004272D3" w:rsidRDefault="005A11F5" w:rsidP="00D53438">
            <w:pPr>
              <w:spacing w:before="60" w:after="60"/>
              <w:jc w:val="center"/>
            </w:pPr>
            <w:r w:rsidRPr="004272D3">
              <w:t>YYYY-MM-DD</w:t>
            </w:r>
          </w:p>
        </w:tc>
      </w:tr>
      <w:tr w:rsidR="005A11F5" w:rsidRPr="004272D3" w14:paraId="0D61A2E2" w14:textId="77777777" w:rsidTr="00012A3D">
        <w:tc>
          <w:tcPr>
            <w:tcW w:w="3325" w:type="dxa"/>
          </w:tcPr>
          <w:p w14:paraId="608E55F1" w14:textId="6DDAA6CE" w:rsidR="005A11F5" w:rsidRPr="004272D3" w:rsidRDefault="00C36F0E" w:rsidP="00D53438">
            <w:pPr>
              <w:spacing w:before="60" w:after="60"/>
              <w:rPr>
                <w:b/>
                <w:i/>
                <w:highlight w:val="yellow"/>
              </w:rPr>
            </w:pPr>
            <w:r w:rsidRPr="004272D3">
              <w:rPr>
                <w:b/>
                <w:i/>
              </w:rPr>
              <w:t>[Approved] or [</w:t>
            </w:r>
            <w:r w:rsidR="005A11F5" w:rsidRPr="004272D3">
              <w:rPr>
                <w:b/>
                <w:i/>
              </w:rPr>
              <w:t>Acknowledge receipt</w:t>
            </w:r>
            <w:r w:rsidRPr="004272D3">
              <w:rPr>
                <w:b/>
                <w:i/>
              </w:rPr>
              <w:t>]</w:t>
            </w:r>
          </w:p>
        </w:tc>
        <w:tc>
          <w:tcPr>
            <w:tcW w:w="4467" w:type="dxa"/>
          </w:tcPr>
          <w:p w14:paraId="4F83E5E1" w14:textId="37DBCF10" w:rsidR="005A11F5" w:rsidRPr="004272D3" w:rsidRDefault="00E428CC" w:rsidP="00D53438">
            <w:pPr>
              <w:spacing w:before="60" w:after="60"/>
            </w:pPr>
            <w:r w:rsidRPr="004272D3">
              <w:t xml:space="preserve">CA </w:t>
            </w:r>
            <w:r w:rsidR="005A11F5" w:rsidRPr="004272D3">
              <w:t>XXX</w:t>
            </w:r>
          </w:p>
        </w:tc>
        <w:tc>
          <w:tcPr>
            <w:tcW w:w="2206" w:type="dxa"/>
          </w:tcPr>
          <w:p w14:paraId="1216BD1C" w14:textId="77777777" w:rsidR="005A11F5" w:rsidRPr="004272D3" w:rsidRDefault="005A11F5" w:rsidP="00D53438">
            <w:pPr>
              <w:spacing w:before="60" w:after="60"/>
              <w:jc w:val="center"/>
            </w:pPr>
            <w:r w:rsidRPr="004272D3">
              <w:t>YYYY-MM-DD</w:t>
            </w:r>
          </w:p>
        </w:tc>
      </w:tr>
    </w:tbl>
    <w:p w14:paraId="75B2650E" w14:textId="77777777" w:rsidR="002E18ED" w:rsidRPr="004272D3" w:rsidRDefault="002E18ED" w:rsidP="00D53438">
      <w:pPr>
        <w:rPr>
          <w:b/>
        </w:rPr>
      </w:pPr>
    </w:p>
    <w:p w14:paraId="57DBC9B0" w14:textId="77777777" w:rsidR="0030269A" w:rsidRPr="004272D3" w:rsidRDefault="0030269A" w:rsidP="00D53438">
      <w:pPr>
        <w:rPr>
          <w:b/>
        </w:rPr>
      </w:pPr>
      <w:r w:rsidRPr="004272D3">
        <w:rPr>
          <w:b/>
        </w:rPr>
        <w:t>Table of Content</w:t>
      </w:r>
    </w:p>
    <w:p w14:paraId="3E53C32B" w14:textId="1871EAD5" w:rsidR="00F978AC" w:rsidRDefault="0030269A">
      <w:pPr>
        <w:pStyle w:val="TM1"/>
        <w:rPr>
          <w:kern w:val="2"/>
          <w:sz w:val="22"/>
          <w:szCs w:val="22"/>
          <w:lang w:val="fr-CA" w:eastAsia="fr-CA"/>
          <w14:ligatures w14:val="standardContextual"/>
        </w:rPr>
      </w:pPr>
      <w:r w:rsidRPr="004272D3">
        <w:rPr>
          <w:noProof w:val="0"/>
        </w:rPr>
        <w:fldChar w:fldCharType="begin"/>
      </w:r>
      <w:r w:rsidRPr="004272D3">
        <w:rPr>
          <w:noProof w:val="0"/>
        </w:rPr>
        <w:instrText xml:space="preserve"> TOC \o "1-2" \u </w:instrText>
      </w:r>
      <w:r w:rsidRPr="004272D3">
        <w:rPr>
          <w:noProof w:val="0"/>
        </w:rPr>
        <w:fldChar w:fldCharType="separate"/>
      </w:r>
      <w:r w:rsidR="00F978AC">
        <w:t>1</w:t>
      </w:r>
      <w:r w:rsidR="00F978AC">
        <w:rPr>
          <w:kern w:val="2"/>
          <w:sz w:val="22"/>
          <w:szCs w:val="22"/>
          <w:lang w:val="fr-CA" w:eastAsia="fr-CA"/>
          <w14:ligatures w14:val="standardContextual"/>
        </w:rPr>
        <w:tab/>
      </w:r>
      <w:r w:rsidR="00F978AC">
        <w:t>Purpose</w:t>
      </w:r>
      <w:r w:rsidR="00F978AC">
        <w:tab/>
      </w:r>
      <w:r w:rsidR="00F978AC">
        <w:fldChar w:fldCharType="begin"/>
      </w:r>
      <w:r w:rsidR="00F978AC">
        <w:instrText xml:space="preserve"> PAGEREF _Toc151476581 \h </w:instrText>
      </w:r>
      <w:r w:rsidR="00F978AC">
        <w:fldChar w:fldCharType="separate"/>
      </w:r>
      <w:r w:rsidR="00F978AC">
        <w:t>1</w:t>
      </w:r>
      <w:r w:rsidR="00F978AC">
        <w:fldChar w:fldCharType="end"/>
      </w:r>
    </w:p>
    <w:p w14:paraId="2E731A98" w14:textId="30C0D5C7" w:rsidR="00F978AC" w:rsidRDefault="00F978AC">
      <w:pPr>
        <w:pStyle w:val="TM1"/>
        <w:rPr>
          <w:kern w:val="2"/>
          <w:sz w:val="22"/>
          <w:szCs w:val="22"/>
          <w:lang w:val="fr-CA" w:eastAsia="fr-CA"/>
          <w14:ligatures w14:val="standardContextual"/>
        </w:rPr>
      </w:pPr>
      <w:r>
        <w:t>2</w:t>
      </w:r>
      <w:r>
        <w:rPr>
          <w:kern w:val="2"/>
          <w:sz w:val="22"/>
          <w:szCs w:val="22"/>
          <w:lang w:val="fr-CA" w:eastAsia="fr-CA"/>
          <w14:ligatures w14:val="standardContextual"/>
        </w:rPr>
        <w:tab/>
      </w:r>
      <w:r>
        <w:t>Scope</w:t>
      </w:r>
      <w:r>
        <w:tab/>
      </w:r>
      <w:r>
        <w:fldChar w:fldCharType="begin"/>
      </w:r>
      <w:r>
        <w:instrText xml:space="preserve"> PAGEREF _Toc151476582 \h </w:instrText>
      </w:r>
      <w:r>
        <w:fldChar w:fldCharType="separate"/>
      </w:r>
      <w:r>
        <w:t>2</w:t>
      </w:r>
      <w:r>
        <w:fldChar w:fldCharType="end"/>
      </w:r>
    </w:p>
    <w:p w14:paraId="10D0081F" w14:textId="34C23339" w:rsidR="00F978AC" w:rsidRDefault="00F978AC">
      <w:pPr>
        <w:pStyle w:val="TM1"/>
        <w:rPr>
          <w:kern w:val="2"/>
          <w:sz w:val="22"/>
          <w:szCs w:val="22"/>
          <w:lang w:val="fr-CA" w:eastAsia="fr-CA"/>
          <w14:ligatures w14:val="standardContextual"/>
        </w:rPr>
      </w:pPr>
      <w:r>
        <w:t>3</w:t>
      </w:r>
      <w:r>
        <w:rPr>
          <w:kern w:val="2"/>
          <w:sz w:val="22"/>
          <w:szCs w:val="22"/>
          <w:lang w:val="fr-CA" w:eastAsia="fr-CA"/>
          <w14:ligatures w14:val="standardContextual"/>
        </w:rPr>
        <w:tab/>
      </w:r>
      <w:r>
        <w:t>Responsibilities</w:t>
      </w:r>
      <w:r>
        <w:tab/>
      </w:r>
      <w:r>
        <w:fldChar w:fldCharType="begin"/>
      </w:r>
      <w:r>
        <w:instrText xml:space="preserve"> PAGEREF _Toc151476583 \h </w:instrText>
      </w:r>
      <w:r>
        <w:fldChar w:fldCharType="separate"/>
      </w:r>
      <w:r>
        <w:t>2</w:t>
      </w:r>
      <w:r>
        <w:fldChar w:fldCharType="end"/>
      </w:r>
    </w:p>
    <w:p w14:paraId="17D44B01" w14:textId="27A812E5" w:rsidR="00F978AC" w:rsidRDefault="00F978AC">
      <w:pPr>
        <w:pStyle w:val="TM1"/>
        <w:rPr>
          <w:kern w:val="2"/>
          <w:sz w:val="22"/>
          <w:szCs w:val="22"/>
          <w:lang w:val="fr-CA" w:eastAsia="fr-CA"/>
          <w14:ligatures w14:val="standardContextual"/>
        </w:rPr>
      </w:pPr>
      <w:r>
        <w:t>4</w:t>
      </w:r>
      <w:r>
        <w:rPr>
          <w:kern w:val="2"/>
          <w:sz w:val="22"/>
          <w:szCs w:val="22"/>
          <w:lang w:val="fr-CA" w:eastAsia="fr-CA"/>
          <w14:ligatures w14:val="standardContextual"/>
        </w:rPr>
        <w:tab/>
      </w:r>
      <w:r>
        <w:t>Definitions</w:t>
      </w:r>
      <w:r>
        <w:tab/>
      </w:r>
      <w:r>
        <w:fldChar w:fldCharType="begin"/>
      </w:r>
      <w:r>
        <w:instrText xml:space="preserve"> PAGEREF _Toc151476584 \h </w:instrText>
      </w:r>
      <w:r>
        <w:fldChar w:fldCharType="separate"/>
      </w:r>
      <w:r>
        <w:t>2</w:t>
      </w:r>
      <w:r>
        <w:fldChar w:fldCharType="end"/>
      </w:r>
    </w:p>
    <w:p w14:paraId="464E329D" w14:textId="3055F0CC" w:rsidR="00F978AC" w:rsidRDefault="00F978AC">
      <w:pPr>
        <w:pStyle w:val="TM1"/>
        <w:rPr>
          <w:kern w:val="2"/>
          <w:sz w:val="22"/>
          <w:szCs w:val="22"/>
          <w:lang w:val="fr-CA" w:eastAsia="fr-CA"/>
          <w14:ligatures w14:val="standardContextual"/>
        </w:rPr>
      </w:pPr>
      <w:r>
        <w:t>5</w:t>
      </w:r>
      <w:r>
        <w:rPr>
          <w:kern w:val="2"/>
          <w:sz w:val="22"/>
          <w:szCs w:val="22"/>
          <w:lang w:val="fr-CA" w:eastAsia="fr-CA"/>
          <w14:ligatures w14:val="standardContextual"/>
        </w:rPr>
        <w:tab/>
      </w:r>
      <w:r>
        <w:t>Procedures</w:t>
      </w:r>
      <w:r>
        <w:tab/>
      </w:r>
      <w:r>
        <w:fldChar w:fldCharType="begin"/>
      </w:r>
      <w:r>
        <w:instrText xml:space="preserve"> PAGEREF _Toc151476585 \h </w:instrText>
      </w:r>
      <w:r>
        <w:fldChar w:fldCharType="separate"/>
      </w:r>
      <w:r>
        <w:t>2</w:t>
      </w:r>
      <w:r>
        <w:fldChar w:fldCharType="end"/>
      </w:r>
    </w:p>
    <w:p w14:paraId="40F8954A" w14:textId="683882D9" w:rsidR="00F978AC" w:rsidRDefault="00F978AC">
      <w:pPr>
        <w:pStyle w:val="TM2"/>
        <w:rPr>
          <w:kern w:val="2"/>
          <w:sz w:val="22"/>
          <w:szCs w:val="22"/>
          <w:lang w:val="fr-CA" w:eastAsia="fr-CA"/>
          <w14:ligatures w14:val="standardContextual"/>
        </w:rPr>
      </w:pPr>
      <w:r>
        <w:t>5.1</w:t>
      </w:r>
      <w:r>
        <w:rPr>
          <w:kern w:val="2"/>
          <w:sz w:val="22"/>
          <w:szCs w:val="22"/>
          <w:lang w:val="fr-CA" w:eastAsia="fr-CA"/>
          <w14:ligatures w14:val="standardContextual"/>
        </w:rPr>
        <w:tab/>
      </w:r>
      <w:r>
        <w:t>REB Decisions</w:t>
      </w:r>
      <w:r>
        <w:tab/>
      </w:r>
      <w:r>
        <w:fldChar w:fldCharType="begin"/>
      </w:r>
      <w:r>
        <w:instrText xml:space="preserve"> PAGEREF _Toc151476586 \h </w:instrText>
      </w:r>
      <w:r>
        <w:fldChar w:fldCharType="separate"/>
      </w:r>
      <w:r>
        <w:t>3</w:t>
      </w:r>
      <w:r>
        <w:fldChar w:fldCharType="end"/>
      </w:r>
    </w:p>
    <w:p w14:paraId="1B841313" w14:textId="56B91C41" w:rsidR="00F978AC" w:rsidRDefault="00F978AC">
      <w:pPr>
        <w:pStyle w:val="TM2"/>
        <w:rPr>
          <w:kern w:val="2"/>
          <w:sz w:val="22"/>
          <w:szCs w:val="22"/>
          <w:lang w:val="fr-CA" w:eastAsia="fr-CA"/>
          <w14:ligatures w14:val="standardContextual"/>
        </w:rPr>
      </w:pPr>
      <w:r>
        <w:t>5.2</w:t>
      </w:r>
      <w:r>
        <w:rPr>
          <w:kern w:val="2"/>
          <w:sz w:val="22"/>
          <w:szCs w:val="22"/>
          <w:lang w:val="fr-CA" w:eastAsia="fr-CA"/>
          <w14:ligatures w14:val="standardContextual"/>
        </w:rPr>
        <w:tab/>
      </w:r>
      <w:r>
        <w:t>Reconsideration and Appeal of REB Decisions</w:t>
      </w:r>
      <w:r>
        <w:tab/>
      </w:r>
      <w:r>
        <w:fldChar w:fldCharType="begin"/>
      </w:r>
      <w:r>
        <w:instrText xml:space="preserve"> PAGEREF _Toc151476587 \h </w:instrText>
      </w:r>
      <w:r>
        <w:fldChar w:fldCharType="separate"/>
      </w:r>
      <w:r>
        <w:t>5</w:t>
      </w:r>
      <w:r>
        <w:fldChar w:fldCharType="end"/>
      </w:r>
    </w:p>
    <w:p w14:paraId="34DC758D" w14:textId="57DE478B" w:rsidR="00F978AC" w:rsidRDefault="00F978AC">
      <w:pPr>
        <w:pStyle w:val="TM2"/>
        <w:rPr>
          <w:kern w:val="2"/>
          <w:sz w:val="22"/>
          <w:szCs w:val="22"/>
          <w:lang w:val="fr-CA" w:eastAsia="fr-CA"/>
          <w14:ligatures w14:val="standardContextual"/>
        </w:rPr>
      </w:pPr>
      <w:r>
        <w:t>5.3</w:t>
      </w:r>
      <w:r>
        <w:rPr>
          <w:kern w:val="2"/>
          <w:sz w:val="22"/>
          <w:szCs w:val="22"/>
          <w:lang w:val="fr-CA" w:eastAsia="fr-CA"/>
          <w14:ligatures w14:val="standardContextual"/>
        </w:rPr>
        <w:tab/>
      </w:r>
      <w:r>
        <w:t>Documenting REB Decisions</w:t>
      </w:r>
      <w:r>
        <w:tab/>
      </w:r>
      <w:r>
        <w:fldChar w:fldCharType="begin"/>
      </w:r>
      <w:r>
        <w:instrText xml:space="preserve"> PAGEREF _Toc151476588 \h </w:instrText>
      </w:r>
      <w:r>
        <w:fldChar w:fldCharType="separate"/>
      </w:r>
      <w:r>
        <w:t>5</w:t>
      </w:r>
      <w:r>
        <w:fldChar w:fldCharType="end"/>
      </w:r>
    </w:p>
    <w:p w14:paraId="08967E2A" w14:textId="65AA8737" w:rsidR="00F978AC" w:rsidRDefault="00F978AC">
      <w:pPr>
        <w:pStyle w:val="TM2"/>
        <w:rPr>
          <w:kern w:val="2"/>
          <w:sz w:val="22"/>
          <w:szCs w:val="22"/>
          <w:lang w:val="fr-CA" w:eastAsia="fr-CA"/>
          <w14:ligatures w14:val="standardContextual"/>
        </w:rPr>
      </w:pPr>
      <w:r>
        <w:t>5.4</w:t>
      </w:r>
      <w:r>
        <w:rPr>
          <w:kern w:val="2"/>
          <w:sz w:val="22"/>
          <w:szCs w:val="22"/>
          <w:lang w:val="fr-CA" w:eastAsia="fr-CA"/>
          <w14:ligatures w14:val="standardContextual"/>
        </w:rPr>
        <w:tab/>
      </w:r>
      <w:r>
        <w:t>Cancellation of REB Review</w:t>
      </w:r>
      <w:r>
        <w:tab/>
      </w:r>
      <w:r>
        <w:fldChar w:fldCharType="begin"/>
      </w:r>
      <w:r>
        <w:instrText xml:space="preserve"> PAGEREF _Toc151476589 \h </w:instrText>
      </w:r>
      <w:r>
        <w:fldChar w:fldCharType="separate"/>
      </w:r>
      <w:r>
        <w:t>6</w:t>
      </w:r>
      <w:r>
        <w:fldChar w:fldCharType="end"/>
      </w:r>
    </w:p>
    <w:p w14:paraId="1072BFDE" w14:textId="78891FC6" w:rsidR="00F978AC" w:rsidRDefault="00F978AC">
      <w:pPr>
        <w:pStyle w:val="TM1"/>
        <w:rPr>
          <w:kern w:val="2"/>
          <w:sz w:val="22"/>
          <w:szCs w:val="22"/>
          <w:lang w:val="fr-CA" w:eastAsia="fr-CA"/>
          <w14:ligatures w14:val="standardContextual"/>
        </w:rPr>
      </w:pPr>
      <w:r>
        <w:t>6</w:t>
      </w:r>
      <w:r>
        <w:rPr>
          <w:kern w:val="2"/>
          <w:sz w:val="22"/>
          <w:szCs w:val="22"/>
          <w:lang w:val="fr-CA" w:eastAsia="fr-CA"/>
          <w14:ligatures w14:val="standardContextual"/>
        </w:rPr>
        <w:tab/>
      </w:r>
      <w:r>
        <w:t>References</w:t>
      </w:r>
      <w:r>
        <w:tab/>
      </w:r>
      <w:r>
        <w:fldChar w:fldCharType="begin"/>
      </w:r>
      <w:r>
        <w:instrText xml:space="preserve"> PAGEREF _Toc151476590 \h </w:instrText>
      </w:r>
      <w:r>
        <w:fldChar w:fldCharType="separate"/>
      </w:r>
      <w:r>
        <w:t>6</w:t>
      </w:r>
      <w:r>
        <w:fldChar w:fldCharType="end"/>
      </w:r>
    </w:p>
    <w:p w14:paraId="1D375A61" w14:textId="33A05D76" w:rsidR="00F978AC" w:rsidRDefault="00F978AC">
      <w:pPr>
        <w:pStyle w:val="TM1"/>
        <w:rPr>
          <w:kern w:val="2"/>
          <w:sz w:val="22"/>
          <w:szCs w:val="22"/>
          <w:lang w:val="fr-CA" w:eastAsia="fr-CA"/>
          <w14:ligatures w14:val="standardContextual"/>
        </w:rPr>
      </w:pPr>
      <w:r>
        <w:t>7</w:t>
      </w:r>
      <w:r>
        <w:rPr>
          <w:kern w:val="2"/>
          <w:sz w:val="22"/>
          <w:szCs w:val="22"/>
          <w:lang w:val="fr-CA" w:eastAsia="fr-CA"/>
          <w14:ligatures w14:val="standardContextual"/>
        </w:rPr>
        <w:tab/>
      </w:r>
      <w:r>
        <w:t>Revision History</w:t>
      </w:r>
      <w:r>
        <w:tab/>
      </w:r>
      <w:r>
        <w:fldChar w:fldCharType="begin"/>
      </w:r>
      <w:r>
        <w:instrText xml:space="preserve"> PAGEREF _Toc151476591 \h </w:instrText>
      </w:r>
      <w:r>
        <w:fldChar w:fldCharType="separate"/>
      </w:r>
      <w:r>
        <w:t>6</w:t>
      </w:r>
      <w:r>
        <w:fldChar w:fldCharType="end"/>
      </w:r>
    </w:p>
    <w:p w14:paraId="6F92ED96" w14:textId="62F4391A" w:rsidR="00F978AC" w:rsidRDefault="00F978AC">
      <w:pPr>
        <w:pStyle w:val="TM1"/>
        <w:rPr>
          <w:kern w:val="2"/>
          <w:sz w:val="22"/>
          <w:szCs w:val="22"/>
          <w:lang w:val="fr-CA" w:eastAsia="fr-CA"/>
          <w14:ligatures w14:val="standardContextual"/>
        </w:rPr>
      </w:pPr>
      <w:r>
        <w:t>8</w:t>
      </w:r>
      <w:r>
        <w:rPr>
          <w:kern w:val="2"/>
          <w:sz w:val="22"/>
          <w:szCs w:val="22"/>
          <w:lang w:val="fr-CA" w:eastAsia="fr-CA"/>
          <w14:ligatures w14:val="standardContextual"/>
        </w:rPr>
        <w:tab/>
      </w:r>
      <w:r>
        <w:t>Appendices</w:t>
      </w:r>
      <w:r>
        <w:tab/>
      </w:r>
      <w:r>
        <w:fldChar w:fldCharType="begin"/>
      </w:r>
      <w:r>
        <w:instrText xml:space="preserve"> PAGEREF _Toc151476592 \h </w:instrText>
      </w:r>
      <w:r>
        <w:fldChar w:fldCharType="separate"/>
      </w:r>
      <w:r>
        <w:t>6</w:t>
      </w:r>
      <w:r>
        <w:fldChar w:fldCharType="end"/>
      </w:r>
    </w:p>
    <w:p w14:paraId="5407B1BF" w14:textId="72B19617" w:rsidR="002B5BA5" w:rsidRPr="004272D3" w:rsidRDefault="0030269A" w:rsidP="00D53438">
      <w:r w:rsidRPr="004272D3">
        <w:rPr>
          <w:rFonts w:eastAsiaTheme="minorEastAsia" w:cstheme="minorHAnsi"/>
          <w:lang w:eastAsia="fr-FR"/>
        </w:rPr>
        <w:fldChar w:fldCharType="end"/>
      </w:r>
    </w:p>
    <w:p w14:paraId="463ABD62" w14:textId="77777777" w:rsidR="00B66BD6" w:rsidRPr="004272D3" w:rsidRDefault="00756C58" w:rsidP="00D53438">
      <w:pPr>
        <w:pStyle w:val="Titre1"/>
        <w:widowControl/>
      </w:pPr>
      <w:bookmarkStart w:id="0" w:name="_Toc151476581"/>
      <w:r w:rsidRPr="004272D3">
        <w:t>Purpose</w:t>
      </w:r>
      <w:bookmarkEnd w:id="0"/>
    </w:p>
    <w:p w14:paraId="56804000" w14:textId="77777777" w:rsidR="002E18ED" w:rsidRPr="004272D3" w:rsidRDefault="001437F2" w:rsidP="00D53438">
      <w:r w:rsidRPr="004272D3">
        <w:t>This standard operating procedure (SOP) describes the decisions that the Research Ethics Board (REB) may make resulting from its review of proposed research for ethical acceptability.</w:t>
      </w:r>
    </w:p>
    <w:p w14:paraId="11243351" w14:textId="77777777" w:rsidR="00756C58" w:rsidRPr="004272D3" w:rsidRDefault="00756C58" w:rsidP="00D53438">
      <w:pPr>
        <w:pStyle w:val="Titre1"/>
        <w:widowControl/>
      </w:pPr>
      <w:bookmarkStart w:id="1" w:name="_Toc151476582"/>
      <w:r w:rsidRPr="004272D3">
        <w:lastRenderedPageBreak/>
        <w:t>Scope</w:t>
      </w:r>
      <w:bookmarkEnd w:id="1"/>
    </w:p>
    <w:p w14:paraId="34D172CF" w14:textId="77777777" w:rsidR="002E18ED" w:rsidRPr="004272D3" w:rsidRDefault="001437F2" w:rsidP="00D53438">
      <w:r w:rsidRPr="004272D3">
        <w:t>This SOP pertains to REBs that review human participant research in compliance with applicable regulations and guidelines.</w:t>
      </w:r>
    </w:p>
    <w:p w14:paraId="622E3482" w14:textId="77777777" w:rsidR="00756C58" w:rsidRPr="004272D3" w:rsidRDefault="002E18ED" w:rsidP="00D53438">
      <w:pPr>
        <w:pStyle w:val="Titre1"/>
        <w:widowControl/>
      </w:pPr>
      <w:bookmarkStart w:id="2" w:name="_Toc151476583"/>
      <w:r w:rsidRPr="004272D3">
        <w:t>R</w:t>
      </w:r>
      <w:r w:rsidR="00756C58" w:rsidRPr="004272D3">
        <w:t>esponsibilities</w:t>
      </w:r>
      <w:bookmarkEnd w:id="2"/>
    </w:p>
    <w:p w14:paraId="21A139BE" w14:textId="77777777" w:rsidR="001437F2" w:rsidRPr="004272D3" w:rsidRDefault="001437F2" w:rsidP="00D53438">
      <w:r w:rsidRPr="004272D3">
        <w:t>All REB members and designated REB staff are responsible for ensuring that the requirements of this SOP are met.</w:t>
      </w:r>
    </w:p>
    <w:p w14:paraId="4130F1AF" w14:textId="77777777" w:rsidR="002E18ED" w:rsidRPr="004272D3" w:rsidRDefault="001437F2" w:rsidP="00D53438">
      <w:r w:rsidRPr="004272D3">
        <w:t>The REB Chair or designee is responsible for ensuring that a decision is made for every submission that is reviewed by the REB, and that the decision is clearly communicated to the Researcher and documented in the REB minutes.</w:t>
      </w:r>
    </w:p>
    <w:p w14:paraId="0DB4A13E" w14:textId="77777777" w:rsidR="00756C58" w:rsidRPr="004272D3" w:rsidRDefault="002E18ED" w:rsidP="00D53438">
      <w:pPr>
        <w:pStyle w:val="Titre1"/>
        <w:widowControl/>
      </w:pPr>
      <w:bookmarkStart w:id="3" w:name="_Toc151476584"/>
      <w:r w:rsidRPr="004272D3">
        <w:t>D</w:t>
      </w:r>
      <w:r w:rsidR="00756C58" w:rsidRPr="004272D3">
        <w:t>efinitions</w:t>
      </w:r>
      <w:bookmarkEnd w:id="3"/>
    </w:p>
    <w:p w14:paraId="659A72C1" w14:textId="77777777" w:rsidR="002E18ED" w:rsidRPr="004272D3" w:rsidRDefault="00A313CE" w:rsidP="00D53438">
      <w:r w:rsidRPr="004272D3">
        <w:t>See Glossary of Terms.</w:t>
      </w:r>
    </w:p>
    <w:p w14:paraId="71314EE5" w14:textId="77777777" w:rsidR="00756C58" w:rsidRPr="004272D3" w:rsidRDefault="002E18ED" w:rsidP="00D53438">
      <w:pPr>
        <w:pStyle w:val="Titre1"/>
        <w:widowControl/>
      </w:pPr>
      <w:bookmarkStart w:id="4" w:name="_Toc151476585"/>
      <w:r w:rsidRPr="004272D3">
        <w:t>P</w:t>
      </w:r>
      <w:r w:rsidR="00756C58" w:rsidRPr="004272D3">
        <w:t>rocedures</w:t>
      </w:r>
      <w:bookmarkEnd w:id="4"/>
    </w:p>
    <w:p w14:paraId="0BAC9FE8" w14:textId="1AEB2E34" w:rsidR="0069433E" w:rsidRPr="004272D3" w:rsidRDefault="0069433E" w:rsidP="00D53438">
      <w:r w:rsidRPr="004272D3">
        <w:t>The REB has the authority to approve, approve with modifications, or disapprove the submitted research. The determination should be made within a reasonable timeframe.</w:t>
      </w:r>
      <w:r w:rsidRPr="004272D3">
        <w:rPr>
          <w:vertAlign w:val="superscript"/>
        </w:rPr>
        <w:footnoteReference w:id="1"/>
      </w:r>
      <w:r w:rsidRPr="004272D3">
        <w:t xml:space="preserve"> Nonetheless, if there are questions that must be addressed prior to determination, the REB may defer its decision. </w:t>
      </w:r>
    </w:p>
    <w:p w14:paraId="787F2C5E" w14:textId="0E51A1CC" w:rsidR="0069433E" w:rsidRPr="004272D3" w:rsidRDefault="0069433E" w:rsidP="00D53438">
      <w:r w:rsidRPr="004272D3">
        <w:t>When the Full Board review procedure is used, decisions will be made by consensus or a majority vote of the REB members who are present at a Full Board meeting at which there is a quorum. Full Board review is the default option for most initial submissions received by the REB.</w:t>
      </w:r>
    </w:p>
    <w:p w14:paraId="41D60EFB" w14:textId="6CB8DB02" w:rsidR="0069433E" w:rsidRPr="004272D3" w:rsidRDefault="0069433E" w:rsidP="00D53438">
      <w:r w:rsidRPr="004272D3">
        <w:t>Some research submissions may be eligible for delegated review, in accordance with the SOP on that topic. REB members assigned to the delegated review may approve the research or ask for modifications or further information, but they do not have the power to disapprove. Only Full Board reviews may disapprove research.</w:t>
      </w:r>
    </w:p>
    <w:p w14:paraId="4C097E56" w14:textId="5E413ACA" w:rsidR="0069433E" w:rsidRPr="004272D3" w:rsidRDefault="0069433E" w:rsidP="00D53438">
      <w:r w:rsidRPr="004272D3">
        <w:t>REB members with a conflict of interest in the research under review must not participate in the deliberations or in the vote of the REB, in accordance with the institution’s conflict of interest policies</w:t>
      </w:r>
      <w:r w:rsidR="008A713C" w:rsidRPr="004272D3">
        <w:rPr>
          <w:rStyle w:val="Appelnotedebasdep"/>
        </w:rPr>
        <w:footnoteReference w:id="2"/>
      </w:r>
      <w:r w:rsidRPr="004272D3">
        <w:t xml:space="preserve"> and the SOPs on conflicts of interest.</w:t>
      </w:r>
      <w:r w:rsidR="008A713C" w:rsidRPr="004272D3">
        <w:rPr>
          <w:vertAlign w:val="superscript"/>
        </w:rPr>
        <w:footnoteReference w:id="3"/>
      </w:r>
      <w:r w:rsidR="008A713C" w:rsidRPr="00F978AC">
        <w:rPr>
          <w:vertAlign w:val="superscript"/>
        </w:rPr>
        <w:t>,</w:t>
      </w:r>
      <w:r w:rsidR="008A713C" w:rsidRPr="004272D3">
        <w:rPr>
          <w:rStyle w:val="Appelnotedebasdep"/>
        </w:rPr>
        <w:footnoteReference w:id="4"/>
      </w:r>
    </w:p>
    <w:p w14:paraId="23408A34" w14:textId="57DAECD1" w:rsidR="0069433E" w:rsidRPr="004272D3" w:rsidRDefault="0069433E" w:rsidP="00D53438">
      <w:r w:rsidRPr="004272D3">
        <w:lastRenderedPageBreak/>
        <w:t>Researchers have the right to request reconsideration of the REB’s decisions and to appeal the decision of the REB.</w:t>
      </w:r>
      <w:r w:rsidR="004272D3">
        <w:rPr>
          <w:rStyle w:val="Appelnotedebasdep"/>
        </w:rPr>
        <w:footnoteReference w:id="5"/>
      </w:r>
    </w:p>
    <w:p w14:paraId="7E02A203" w14:textId="77777777" w:rsidR="0069433E" w:rsidRPr="004272D3" w:rsidRDefault="0069433E" w:rsidP="00D53438">
      <w:pPr>
        <w:pStyle w:val="Titre2"/>
        <w:widowControl/>
      </w:pPr>
      <w:bookmarkStart w:id="5" w:name="_Toc151476586"/>
      <w:r w:rsidRPr="004272D3">
        <w:t>REB Decisions</w:t>
      </w:r>
      <w:bookmarkEnd w:id="5"/>
    </w:p>
    <w:p w14:paraId="460E44FA" w14:textId="699EF2E3" w:rsidR="0069433E" w:rsidRPr="004272D3" w:rsidRDefault="0069433E" w:rsidP="0079307E">
      <w:pPr>
        <w:pStyle w:val="Titre3"/>
        <w:widowControl/>
      </w:pPr>
      <w:r w:rsidRPr="004272D3">
        <w:t>REB decisions are made either by consensus or a majority vote of the REB members present at a Full Board meeting,</w:t>
      </w:r>
      <w:r w:rsidR="004272D3">
        <w:rPr>
          <w:rStyle w:val="Appelnotedebasdep"/>
        </w:rPr>
        <w:footnoteReference w:id="6"/>
      </w:r>
      <w:r w:rsidR="004272D3">
        <w:t xml:space="preserve"> </w:t>
      </w:r>
      <w:r w:rsidRPr="004272D3">
        <w:t xml:space="preserve">with the exception of those who have recused themselves in accordance with the </w:t>
      </w:r>
      <w:proofErr w:type="gramStart"/>
      <w:r w:rsidRPr="004272D3">
        <w:t>conflict of interest</w:t>
      </w:r>
      <w:proofErr w:type="gramEnd"/>
      <w:r w:rsidRPr="004272D3">
        <w:t xml:space="preserve"> policies. If consensus cannot be reached, the decision will proceed to a vote.</w:t>
      </w:r>
      <w:r w:rsidRPr="004272D3">
        <w:rPr>
          <w:vertAlign w:val="superscript"/>
        </w:rPr>
        <w:footnoteReference w:id="7"/>
      </w:r>
    </w:p>
    <w:p w14:paraId="2C78F646" w14:textId="276BE2CF" w:rsidR="0069433E" w:rsidRPr="004272D3" w:rsidRDefault="0069433E" w:rsidP="00D53438">
      <w:pPr>
        <w:pStyle w:val="Titre3"/>
        <w:widowControl/>
        <w:numPr>
          <w:ilvl w:val="0"/>
          <w:numId w:val="0"/>
        </w:numPr>
        <w:ind w:left="1134"/>
      </w:pPr>
      <w:r w:rsidRPr="004272D3">
        <w:t>An REB member who disagrees with a decision may express dissent or abstention; this will be recorded in the minutes.</w:t>
      </w:r>
    </w:p>
    <w:p w14:paraId="378CB1E6" w14:textId="77777777" w:rsidR="0069433E" w:rsidRPr="004272D3" w:rsidRDefault="0069433E" w:rsidP="00D53438">
      <w:pPr>
        <w:pStyle w:val="Titre3"/>
        <w:widowControl/>
      </w:pPr>
      <w:r w:rsidRPr="004272D3">
        <w:t xml:space="preserve">The REB should reach one of the following decisions </w:t>
      </w:r>
      <w:proofErr w:type="gramStart"/>
      <w:r w:rsidRPr="004272D3">
        <w:t>as a result of</w:t>
      </w:r>
      <w:proofErr w:type="gramEnd"/>
      <w:r w:rsidRPr="004272D3">
        <w:t xml:space="preserve"> its review of research submitted for initial or for continuing review</w:t>
      </w:r>
      <w:r w:rsidRPr="004272D3">
        <w:rPr>
          <w:vertAlign w:val="superscript"/>
        </w:rPr>
        <w:footnoteReference w:id="8"/>
      </w:r>
      <w:r w:rsidRPr="004272D3">
        <w:t>:</w:t>
      </w:r>
    </w:p>
    <w:p w14:paraId="2B918F8F" w14:textId="77777777" w:rsidR="0069433E" w:rsidRPr="004272D3" w:rsidRDefault="0069433E" w:rsidP="00D53438">
      <w:pPr>
        <w:pStyle w:val="SOPBulletC"/>
      </w:pPr>
      <w:r w:rsidRPr="004272D3">
        <w:rPr>
          <w:b/>
          <w:bCs/>
        </w:rPr>
        <w:t>Approval</w:t>
      </w:r>
      <w:r w:rsidRPr="004272D3">
        <w:t xml:space="preserve"> (approve the application as submitted, including the consent form):</w:t>
      </w:r>
    </w:p>
    <w:p w14:paraId="0A3D33F9" w14:textId="77777777" w:rsidR="0069433E" w:rsidRPr="004272D3" w:rsidRDefault="0069433E" w:rsidP="00D53438">
      <w:pPr>
        <w:pStyle w:val="SOPBulletD"/>
      </w:pPr>
      <w:r w:rsidRPr="004272D3">
        <w:t>When the research meets the ethical standards and the regulatory criteria required for approval, it may be approved as submitted,</w:t>
      </w:r>
    </w:p>
    <w:p w14:paraId="68FF94D2" w14:textId="67C953C6" w:rsidR="0069433E" w:rsidRPr="004272D3" w:rsidRDefault="0069433E" w:rsidP="00D53438">
      <w:pPr>
        <w:pStyle w:val="SOPBulletD"/>
      </w:pPr>
      <w:r w:rsidRPr="004272D3">
        <w:t>The approval is effective as of the date of REB approval (final). It is effective for at most one year from this date.</w:t>
      </w:r>
    </w:p>
    <w:p w14:paraId="2FFD336D" w14:textId="77777777" w:rsidR="0069433E" w:rsidRPr="004272D3" w:rsidRDefault="0069433E" w:rsidP="00D53438">
      <w:pPr>
        <w:pStyle w:val="SOPBulletC"/>
        <w:rPr>
          <w:b/>
          <w:bCs/>
        </w:rPr>
      </w:pPr>
      <w:r w:rsidRPr="004272D3">
        <w:rPr>
          <w:b/>
          <w:bCs/>
        </w:rPr>
        <w:t>Approval with Modifications:</w:t>
      </w:r>
    </w:p>
    <w:p w14:paraId="1FAAAF19" w14:textId="319FCFE9" w:rsidR="0069433E" w:rsidRPr="004272D3" w:rsidRDefault="0069433E" w:rsidP="00D53438">
      <w:pPr>
        <w:pStyle w:val="SOPBulletD"/>
      </w:pPr>
      <w:r w:rsidRPr="004272D3">
        <w:t>Even if the research meets the ethical standards and satisfies the regulatory criteria required for approval, the REB members may require modification or further information before granting final approval. Such decisions may include clarifications on how to review the changes,</w:t>
      </w:r>
    </w:p>
    <w:p w14:paraId="720C0508" w14:textId="77777777" w:rsidR="0069433E" w:rsidRPr="004272D3" w:rsidRDefault="0069433E" w:rsidP="00D53438">
      <w:pPr>
        <w:pStyle w:val="SOPBulletD"/>
      </w:pPr>
      <w:r w:rsidRPr="004272D3">
        <w:t>Except where otherwise indicated by the REB, the REB Chair or designee has the responsibilities for additional review and approval decision following the modifications or clarifications brought by the Researcher. This responsibility may be delegated to one of the following:</w:t>
      </w:r>
    </w:p>
    <w:p w14:paraId="5229F187" w14:textId="77777777" w:rsidR="0069433E" w:rsidRPr="004272D3" w:rsidRDefault="0069433E" w:rsidP="00D53438">
      <w:pPr>
        <w:pStyle w:val="SOPBulletE"/>
      </w:pPr>
      <w:r w:rsidRPr="004272D3">
        <w:t>One or more named REB members who were present at the REB meeting or who submitted written comments on the application,</w:t>
      </w:r>
    </w:p>
    <w:p w14:paraId="2E2397FE" w14:textId="5461D1C5" w:rsidR="0069433E" w:rsidRPr="004272D3" w:rsidRDefault="0069433E" w:rsidP="00D53438">
      <w:pPr>
        <w:pStyle w:val="SOPBulletE"/>
      </w:pPr>
      <w:r w:rsidRPr="004272D3">
        <w:t>A subgroup of the REB members designated by the REB Chair or designee or by the REB,</w:t>
      </w:r>
    </w:p>
    <w:p w14:paraId="268ABDD9" w14:textId="77777777" w:rsidR="0069433E" w:rsidRPr="004272D3" w:rsidRDefault="0069433E" w:rsidP="00D53438">
      <w:pPr>
        <w:pStyle w:val="SOPBulletE"/>
      </w:pPr>
      <w:r w:rsidRPr="004272D3">
        <w:t xml:space="preserve">A designated REB member or members with sufficient knowledge and experience regarding the research and the </w:t>
      </w:r>
      <w:proofErr w:type="gramStart"/>
      <w:r w:rsidRPr="004272D3">
        <w:t>regulations;</w:t>
      </w:r>
      <w:proofErr w:type="gramEnd"/>
    </w:p>
    <w:p w14:paraId="33A1E7C1" w14:textId="7008C1EA" w:rsidR="0069433E" w:rsidRPr="004272D3" w:rsidRDefault="0069433E" w:rsidP="00D53438">
      <w:pPr>
        <w:pStyle w:val="SOPBulletD"/>
      </w:pPr>
      <w:r w:rsidRPr="004272D3">
        <w:lastRenderedPageBreak/>
        <w:t>The Researcher has 3</w:t>
      </w:r>
      <w:r w:rsidR="007A2E5D" w:rsidRPr="004272D3">
        <w:t> </w:t>
      </w:r>
      <w:r w:rsidRPr="004272D3">
        <w:t>months to respond to the REB, after which date the file will be closed and the research would have to be resubmitted,</w:t>
      </w:r>
    </w:p>
    <w:p w14:paraId="65449A3F" w14:textId="77777777" w:rsidR="0069433E" w:rsidRPr="004272D3" w:rsidRDefault="0069433E" w:rsidP="00D53438">
      <w:pPr>
        <w:pStyle w:val="SOPBulletD"/>
      </w:pPr>
      <w:r w:rsidRPr="004272D3">
        <w:t>If the Researcher’s response is deemed complete and satisfactory, approval can be issued,</w:t>
      </w:r>
    </w:p>
    <w:p w14:paraId="13DE5980" w14:textId="77777777" w:rsidR="0069433E" w:rsidRPr="004272D3" w:rsidRDefault="0069433E" w:rsidP="00D53438">
      <w:pPr>
        <w:pStyle w:val="SOPBulletD"/>
      </w:pPr>
      <w:r w:rsidRPr="004272D3">
        <w:t>If the Researcher’s response is incomplete and does not fully address the matters raised, requests for further information, modifications or clarification should be sent to the Researcher,</w:t>
      </w:r>
    </w:p>
    <w:p w14:paraId="541C4B95" w14:textId="77777777" w:rsidR="0069433E" w:rsidRPr="004272D3" w:rsidRDefault="0069433E" w:rsidP="00D53438">
      <w:pPr>
        <w:pStyle w:val="SOPBulletD"/>
      </w:pPr>
      <w:r w:rsidRPr="004272D3">
        <w:t>The reviewers may decide upon reviewing the Researcher’s response that the decision should be deferred and that the application and the Researcher’s response materials should be reviewed at a subsequent Full Board meeting (see ‘Deferral’ process below),</w:t>
      </w:r>
    </w:p>
    <w:p w14:paraId="5C8C62ED" w14:textId="3A73728C" w:rsidR="0069433E" w:rsidRPr="004272D3" w:rsidRDefault="0069433E" w:rsidP="00D53438">
      <w:pPr>
        <w:pStyle w:val="SOPBulletD"/>
      </w:pPr>
      <w:r w:rsidRPr="004272D3">
        <w:t xml:space="preserve">The approval is effective </w:t>
      </w:r>
      <w:r w:rsidR="006F6427" w:rsidRPr="004272D3">
        <w:t xml:space="preserve">(“effective date”) </w:t>
      </w:r>
      <w:r w:rsidRPr="004272D3">
        <w:t xml:space="preserve">as of the date of REB approval (final). It is effective for at most one year. The expiry date is calculated from the </w:t>
      </w:r>
      <w:r w:rsidR="00B050AF" w:rsidRPr="004272D3">
        <w:t>effective date</w:t>
      </w:r>
      <w:r w:rsidRPr="004272D3">
        <w:t xml:space="preserve">; however, the </w:t>
      </w:r>
      <w:r w:rsidR="00B050AF" w:rsidRPr="004272D3">
        <w:t xml:space="preserve">final </w:t>
      </w:r>
      <w:r w:rsidRPr="004272D3">
        <w:t xml:space="preserve">approval letter is not issued until </w:t>
      </w:r>
      <w:proofErr w:type="gramStart"/>
      <w:r w:rsidRPr="004272D3">
        <w:t>all of</w:t>
      </w:r>
      <w:proofErr w:type="gramEnd"/>
      <w:r w:rsidRPr="004272D3">
        <w:t xml:space="preserve"> the conditions for approval have been met,</w:t>
      </w:r>
    </w:p>
    <w:p w14:paraId="10BC0919" w14:textId="77777777" w:rsidR="0069433E" w:rsidRPr="004272D3" w:rsidRDefault="0069433E" w:rsidP="00D53438">
      <w:pPr>
        <w:pStyle w:val="SOPBulletD"/>
      </w:pPr>
      <w:r w:rsidRPr="004272D3">
        <w:t>When the REB recommends “Approval with Modifications/Clarifications”, the REB Chair or designee should ensure that the additional information, modifications, or clarifications required are identified at the next REB meeting and included in the minutes.</w:t>
      </w:r>
    </w:p>
    <w:p w14:paraId="18B5C63F" w14:textId="77777777" w:rsidR="0069433E" w:rsidRPr="004272D3" w:rsidRDefault="0069433E" w:rsidP="00D53438">
      <w:pPr>
        <w:pStyle w:val="SOPBulletC"/>
        <w:rPr>
          <w:b/>
          <w:bCs/>
        </w:rPr>
      </w:pPr>
      <w:r w:rsidRPr="004272D3">
        <w:rPr>
          <w:b/>
          <w:bCs/>
        </w:rPr>
        <w:t>Deferral:</w:t>
      </w:r>
    </w:p>
    <w:p w14:paraId="10832147" w14:textId="77777777" w:rsidR="0069433E" w:rsidRPr="004272D3" w:rsidRDefault="0069433E" w:rsidP="00D53438">
      <w:pPr>
        <w:pStyle w:val="SOPBulletD"/>
      </w:pPr>
      <w:r w:rsidRPr="004272D3">
        <w:t>The REB will defer its decision to a subsequent Full Board meeting when significant questions are raised during its review of the research and/or when the criteria required for approval have not been met,</w:t>
      </w:r>
    </w:p>
    <w:p w14:paraId="4E6BF123" w14:textId="1115C0F6" w:rsidR="0069433E" w:rsidRPr="004272D3" w:rsidRDefault="0069433E" w:rsidP="00D53438">
      <w:pPr>
        <w:pStyle w:val="SOPBulletD"/>
      </w:pPr>
      <w:r w:rsidRPr="004272D3">
        <w:t>The REB Chair or designee should ensure that all additional information,</w:t>
      </w:r>
      <w:r w:rsidR="00D53438" w:rsidRPr="004272D3">
        <w:t xml:space="preserve"> </w:t>
      </w:r>
      <w:r w:rsidRPr="004272D3">
        <w:t>modifications or clarifications that are required are specifically identified at the Full Board meeting,</w:t>
      </w:r>
    </w:p>
    <w:p w14:paraId="1E0E97C5" w14:textId="77777777" w:rsidR="0069433E" w:rsidRPr="004272D3" w:rsidRDefault="0069433E" w:rsidP="00D53438">
      <w:pPr>
        <w:pStyle w:val="SOPBulletD"/>
      </w:pPr>
      <w:r w:rsidRPr="004272D3">
        <w:t>The Researcher has 3 months to respond to the REB requests,</w:t>
      </w:r>
    </w:p>
    <w:p w14:paraId="30E1220E" w14:textId="77777777" w:rsidR="0069433E" w:rsidRPr="004272D3" w:rsidRDefault="0069433E" w:rsidP="00D53438">
      <w:pPr>
        <w:pStyle w:val="SOPBulletD"/>
      </w:pPr>
      <w:r w:rsidRPr="004272D3">
        <w:t>The research shall be reviewed at a subsequent Full Board meeting.</w:t>
      </w:r>
    </w:p>
    <w:p w14:paraId="47E4437C" w14:textId="77777777" w:rsidR="0069433E" w:rsidRPr="004272D3" w:rsidRDefault="0069433E" w:rsidP="00D53438">
      <w:pPr>
        <w:pStyle w:val="SOPBulletC"/>
        <w:keepNext/>
        <w:ind w:left="1700" w:hanging="562"/>
        <w:rPr>
          <w:b/>
          <w:bCs/>
        </w:rPr>
      </w:pPr>
      <w:r w:rsidRPr="004272D3">
        <w:rPr>
          <w:b/>
          <w:bCs/>
        </w:rPr>
        <w:t>Disapproval:</w:t>
      </w:r>
    </w:p>
    <w:p w14:paraId="1AFDC211" w14:textId="77777777" w:rsidR="0069433E" w:rsidRPr="004272D3" w:rsidRDefault="0069433E" w:rsidP="00D53438">
      <w:pPr>
        <w:pStyle w:val="SOPBulletD"/>
      </w:pPr>
      <w:r w:rsidRPr="004272D3">
        <w:t>The REB may disapprove the research when it fails to meet the ethical standards for approval and where revision is unlikely to enable the REB to reach a positive determination,</w:t>
      </w:r>
    </w:p>
    <w:p w14:paraId="35A076B2" w14:textId="3E82F5DA" w:rsidR="0069433E" w:rsidRPr="004272D3" w:rsidRDefault="0069433E" w:rsidP="00D53438">
      <w:pPr>
        <w:pStyle w:val="SOPBulletD"/>
      </w:pPr>
      <w:r w:rsidRPr="004272D3">
        <w:t>Disapproval cannot be decided through the delegated review mechanism.</w:t>
      </w:r>
      <w:r w:rsidR="007A2E5D" w:rsidRPr="004272D3">
        <w:t xml:space="preserve"> </w:t>
      </w:r>
      <w:r w:rsidRPr="004272D3">
        <w:t>If the recommendation under delegated review is to disapprove the</w:t>
      </w:r>
      <w:r w:rsidR="007A2E5D" w:rsidRPr="004272D3">
        <w:t xml:space="preserve"> </w:t>
      </w:r>
      <w:r w:rsidRPr="004272D3">
        <w:t>research, a final decision must be made by the REB at a Full Board meeting,</w:t>
      </w:r>
    </w:p>
    <w:p w14:paraId="67F64A47" w14:textId="3A38ED77" w:rsidR="0069433E" w:rsidRPr="004272D3" w:rsidRDefault="0069433E" w:rsidP="00D53438">
      <w:pPr>
        <w:pStyle w:val="SOPBulletD"/>
      </w:pPr>
      <w:r w:rsidRPr="004272D3">
        <w:t>If the research is disapproved, the REB Chair or designee should ensure that the reasons for the disapproval are clearly identified and communicated to the Researcher</w:t>
      </w:r>
      <w:r w:rsidR="00A0020D" w:rsidRPr="004272D3">
        <w:t xml:space="preserve"> in </w:t>
      </w:r>
      <w:r w:rsidR="00A0020D" w:rsidRPr="004272D3">
        <w:lastRenderedPageBreak/>
        <w:t>writing</w:t>
      </w:r>
      <w:r w:rsidRPr="004272D3">
        <w:t>.</w:t>
      </w:r>
      <w:r w:rsidRPr="004272D3">
        <w:rPr>
          <w:vertAlign w:val="superscript"/>
        </w:rPr>
        <w:footnoteReference w:id="9"/>
      </w:r>
      <w:r w:rsidRPr="004272D3">
        <w:t xml:space="preserve"> The Researcher will be given an opportunity to respond in person or in writing, to request reconsideration of the decision, and to file an appeal.</w:t>
      </w:r>
      <w:r w:rsidRPr="004272D3">
        <w:rPr>
          <w:vertAlign w:val="superscript"/>
        </w:rPr>
        <w:footnoteReference w:id="10"/>
      </w:r>
    </w:p>
    <w:p w14:paraId="6E8C67CC" w14:textId="77777777" w:rsidR="0069433E" w:rsidRPr="004272D3" w:rsidRDefault="0069433E" w:rsidP="00D53438">
      <w:pPr>
        <w:pStyle w:val="Titre3"/>
        <w:widowControl/>
      </w:pPr>
      <w:r w:rsidRPr="004272D3">
        <w:rPr>
          <w:b/>
          <w:bCs/>
        </w:rPr>
        <w:t>Delegated Reviews:</w:t>
      </w:r>
    </w:p>
    <w:p w14:paraId="1B76ED6E" w14:textId="02464529" w:rsidR="0069433E" w:rsidRPr="004272D3" w:rsidRDefault="0069433E" w:rsidP="00F978AC">
      <w:pPr>
        <w:pStyle w:val="SOPBulletC"/>
        <w:numPr>
          <w:ilvl w:val="0"/>
          <w:numId w:val="0"/>
        </w:numPr>
        <w:ind w:left="1701" w:hanging="567"/>
      </w:pPr>
      <w:r w:rsidRPr="004272D3">
        <w:t>Delegated reviews may be performed in accordance with the SOP on that topic.</w:t>
      </w:r>
      <w:r w:rsidR="00A0020D" w:rsidRPr="004272D3">
        <w:rPr>
          <w:rStyle w:val="Appelnotedebasdep"/>
        </w:rPr>
        <w:footnoteReference w:id="11"/>
      </w:r>
      <w:r w:rsidRPr="004272D3">
        <w:t xml:space="preserve"> </w:t>
      </w:r>
    </w:p>
    <w:p w14:paraId="3C7F533A" w14:textId="77777777" w:rsidR="0069433E" w:rsidRPr="004272D3" w:rsidRDefault="0069433E" w:rsidP="0079307E">
      <w:pPr>
        <w:pStyle w:val="Titre2"/>
        <w:widowControl/>
        <w:tabs>
          <w:tab w:val="left" w:pos="1134"/>
        </w:tabs>
        <w:ind w:left="1134" w:hanging="1134"/>
      </w:pPr>
      <w:bookmarkStart w:id="6" w:name="_Toc151476587"/>
      <w:r w:rsidRPr="004272D3">
        <w:t>Reconsideration and Appeal of REB Decisions</w:t>
      </w:r>
      <w:bookmarkEnd w:id="6"/>
    </w:p>
    <w:p w14:paraId="7BA8AFBC" w14:textId="27510660" w:rsidR="0069433E" w:rsidRPr="004272D3" w:rsidRDefault="0069433E" w:rsidP="00D53438">
      <w:pPr>
        <w:pStyle w:val="Titre3"/>
        <w:widowControl/>
      </w:pPr>
      <w:r w:rsidRPr="004272D3">
        <w:t xml:space="preserve">A Researcher may ask that the decision of the REB be reconsidered if the Researcher can justify the grounds for the request. The Researcher/applicant shall have the right to be heard at a Full Board meeting at which he/she presents the arguments in favour of the </w:t>
      </w:r>
      <w:proofErr w:type="gramStart"/>
      <w:r w:rsidRPr="004272D3">
        <w:t>case;</w:t>
      </w:r>
      <w:proofErr w:type="gramEnd"/>
    </w:p>
    <w:p w14:paraId="116AAD12" w14:textId="77777777" w:rsidR="0069433E" w:rsidRPr="004272D3" w:rsidRDefault="0069433E" w:rsidP="00D53438">
      <w:pPr>
        <w:pStyle w:val="Titre3"/>
        <w:widowControl/>
      </w:pPr>
      <w:r w:rsidRPr="004272D3">
        <w:t xml:space="preserve">After reconsideration, the REB will hand down its verdict. If the REB maintains its decision to disapprove the research, the REB may offer the Researcher another hearing, in front of a quorum distinct from the REB. The decision of that second quorum is </w:t>
      </w:r>
      <w:proofErr w:type="gramStart"/>
      <w:r w:rsidRPr="004272D3">
        <w:t>final;</w:t>
      </w:r>
      <w:proofErr w:type="gramEnd"/>
    </w:p>
    <w:p w14:paraId="447E4310" w14:textId="1A4A1BD5" w:rsidR="0069433E" w:rsidRPr="004272D3" w:rsidRDefault="0069433E" w:rsidP="00D53438">
      <w:pPr>
        <w:pStyle w:val="Titre3"/>
        <w:widowControl/>
      </w:pPr>
      <w:r w:rsidRPr="004272D3">
        <w:t>If the</w:t>
      </w:r>
      <w:r w:rsidR="00A0020D" w:rsidRPr="004272D3">
        <w:rPr>
          <w:rStyle w:val="Appelnotedebasdep"/>
        </w:rPr>
        <w:footnoteReference w:id="12"/>
      </w:r>
      <w:r w:rsidRPr="004272D3">
        <w:t xml:space="preserve"> Researcher does not accept a hearing in front of a quorum distinct from the REB,</w:t>
      </w:r>
      <w:r w:rsidR="00D21D91" w:rsidRPr="004272D3">
        <w:t xml:space="preserve"> </w:t>
      </w:r>
      <w:r w:rsidRPr="004272D3">
        <w:t>an appeal may be launched for procedural or substantive reasons</w:t>
      </w:r>
      <w:r w:rsidRPr="004272D3">
        <w:rPr>
          <w:vertAlign w:val="superscript"/>
        </w:rPr>
        <w:footnoteReference w:id="13"/>
      </w:r>
      <w:r w:rsidRPr="004272D3">
        <w:t>;</w:t>
      </w:r>
    </w:p>
    <w:p w14:paraId="3ADF8724" w14:textId="77777777" w:rsidR="0069433E" w:rsidRPr="004272D3" w:rsidRDefault="0069433E" w:rsidP="00D53438">
      <w:pPr>
        <w:pStyle w:val="Titre3"/>
        <w:widowControl/>
      </w:pPr>
      <w:r w:rsidRPr="004272D3">
        <w:t>The appeal will take place at one of the REBs of the Quebec Health and Social Services Network (</w:t>
      </w:r>
      <w:proofErr w:type="spellStart"/>
      <w:r w:rsidRPr="004272D3">
        <w:rPr>
          <w:i/>
          <w:iCs/>
        </w:rPr>
        <w:t>Réseau</w:t>
      </w:r>
      <w:proofErr w:type="spellEnd"/>
      <w:r w:rsidRPr="004272D3">
        <w:rPr>
          <w:i/>
          <w:iCs/>
        </w:rPr>
        <w:t xml:space="preserve"> de la </w:t>
      </w:r>
      <w:proofErr w:type="spellStart"/>
      <w:r w:rsidRPr="004272D3">
        <w:rPr>
          <w:i/>
          <w:iCs/>
        </w:rPr>
        <w:t>santé</w:t>
      </w:r>
      <w:proofErr w:type="spellEnd"/>
      <w:r w:rsidRPr="004272D3">
        <w:rPr>
          <w:i/>
          <w:iCs/>
        </w:rPr>
        <w:t xml:space="preserve"> et des services </w:t>
      </w:r>
      <w:proofErr w:type="spellStart"/>
      <w:r w:rsidRPr="004272D3">
        <w:rPr>
          <w:i/>
          <w:iCs/>
        </w:rPr>
        <w:t>sociaux</w:t>
      </w:r>
      <w:proofErr w:type="spellEnd"/>
      <w:r w:rsidRPr="004272D3">
        <w:rPr>
          <w:i/>
          <w:iCs/>
        </w:rPr>
        <w:t xml:space="preserve"> du Québec</w:t>
      </w:r>
      <w:r w:rsidRPr="004272D3">
        <w:t xml:space="preserve">), to be determined jointly between the REB and the </w:t>
      </w:r>
      <w:proofErr w:type="gramStart"/>
      <w:r w:rsidRPr="004272D3">
        <w:t>Researcher;</w:t>
      </w:r>
      <w:proofErr w:type="gramEnd"/>
    </w:p>
    <w:p w14:paraId="2C50511D" w14:textId="28DE41B5" w:rsidR="0069433E" w:rsidRPr="004272D3" w:rsidRDefault="0069433E" w:rsidP="00D53438">
      <w:pPr>
        <w:pStyle w:val="Titre3"/>
        <w:widowControl/>
      </w:pPr>
      <w:r w:rsidRPr="004272D3">
        <w:t>The appeals committee will review the research proposal. In so doing, it may approve, disapprove or request modifications.</w:t>
      </w:r>
      <w:r w:rsidR="00B51CCF" w:rsidRPr="004272D3">
        <w:rPr>
          <w:rStyle w:val="Appelnotedebasdep"/>
        </w:rPr>
        <w:footnoteReference w:id="14"/>
      </w:r>
      <w:r w:rsidRPr="004272D3">
        <w:t xml:space="preserve"> The decision of the appeals committee must be justified and shall be final. The decision shall be communicated to the Researcher and the REB in writing.</w:t>
      </w:r>
      <w:r w:rsidR="00B51CCF" w:rsidRPr="004272D3">
        <w:rPr>
          <w:rStyle w:val="Appelnotedebasdep"/>
        </w:rPr>
        <w:footnoteReference w:id="15"/>
      </w:r>
    </w:p>
    <w:p w14:paraId="204481A1" w14:textId="77777777" w:rsidR="0069433E" w:rsidRPr="004272D3" w:rsidRDefault="0069433E" w:rsidP="0079307E">
      <w:pPr>
        <w:pStyle w:val="Titre2"/>
        <w:widowControl/>
        <w:tabs>
          <w:tab w:val="left" w:pos="1134"/>
        </w:tabs>
        <w:ind w:left="1134" w:hanging="1134"/>
      </w:pPr>
      <w:bookmarkStart w:id="7" w:name="_Toc151476588"/>
      <w:r w:rsidRPr="004272D3">
        <w:t>Documenting REB Decisions</w:t>
      </w:r>
      <w:bookmarkEnd w:id="7"/>
    </w:p>
    <w:p w14:paraId="7F2DCAE3" w14:textId="718B7ADE" w:rsidR="0069433E" w:rsidRPr="004272D3" w:rsidRDefault="0069433E" w:rsidP="00D53438">
      <w:pPr>
        <w:pStyle w:val="Titre3"/>
        <w:widowControl/>
      </w:pPr>
      <w:r w:rsidRPr="004272D3">
        <w:t xml:space="preserve">The REB meeting minutes will contain the following: membership attendance, research proposals, documents examined, review types, items reviewed (see Appendix), requests for modification and clarification, decisions taken, and abstentions and dissents along with their respective </w:t>
      </w:r>
      <w:proofErr w:type="gramStart"/>
      <w:r w:rsidRPr="004272D3">
        <w:t>reasons;</w:t>
      </w:r>
      <w:proofErr w:type="gramEnd"/>
      <w:r w:rsidRPr="004272D3">
        <w:t xml:space="preserve"> </w:t>
      </w:r>
    </w:p>
    <w:p w14:paraId="1ACD58A8" w14:textId="0EF586BF" w:rsidR="0069433E" w:rsidRPr="004272D3" w:rsidRDefault="0069433E" w:rsidP="00D53438">
      <w:pPr>
        <w:pStyle w:val="Titre3"/>
        <w:widowControl/>
      </w:pPr>
      <w:r w:rsidRPr="004272D3">
        <w:t xml:space="preserve">The REB shall notify the Researcher in writing of its </w:t>
      </w:r>
      <w:proofErr w:type="gramStart"/>
      <w:r w:rsidRPr="004272D3">
        <w:t>decision;</w:t>
      </w:r>
      <w:proofErr w:type="gramEnd"/>
    </w:p>
    <w:p w14:paraId="52CEF7FA" w14:textId="7C3EF6AB" w:rsidR="0069433E" w:rsidRPr="004272D3" w:rsidRDefault="0069433E" w:rsidP="00D53438">
      <w:pPr>
        <w:pStyle w:val="Titre3"/>
        <w:widowControl/>
      </w:pPr>
      <w:r w:rsidRPr="004272D3">
        <w:lastRenderedPageBreak/>
        <w:t xml:space="preserve">If the REB defers its decision or asks for modifications, the letter to the Researcher should include the issues of concern and the additional information </w:t>
      </w:r>
      <w:proofErr w:type="gramStart"/>
      <w:r w:rsidRPr="004272D3">
        <w:t>required;</w:t>
      </w:r>
      <w:proofErr w:type="gramEnd"/>
    </w:p>
    <w:p w14:paraId="690C0E94" w14:textId="168A018C" w:rsidR="0069433E" w:rsidRPr="004272D3" w:rsidRDefault="0069433E" w:rsidP="00D53438">
      <w:pPr>
        <w:pStyle w:val="Titre3"/>
        <w:widowControl/>
      </w:pPr>
      <w:r w:rsidRPr="004272D3">
        <w:t xml:space="preserve">The final approval letter should include standard conditions of approval to which the Researcher must adhere, such as the duration of approval and the need to obtain authorization from the person formally mandated before starting the </w:t>
      </w:r>
      <w:proofErr w:type="gramStart"/>
      <w:r w:rsidRPr="004272D3">
        <w:t>research;</w:t>
      </w:r>
      <w:proofErr w:type="gramEnd"/>
    </w:p>
    <w:p w14:paraId="0E983F07" w14:textId="77777777" w:rsidR="0069433E" w:rsidRPr="004272D3" w:rsidRDefault="0069433E" w:rsidP="00D53438">
      <w:pPr>
        <w:pStyle w:val="Titre3"/>
        <w:widowControl/>
      </w:pPr>
      <w:r w:rsidRPr="004272D3">
        <w:t>When the decision to approve a submission is given by electronic means (</w:t>
      </w:r>
      <w:proofErr w:type="gramStart"/>
      <w:r w:rsidRPr="004272D3">
        <w:t>e.g.</w:t>
      </w:r>
      <w:proofErr w:type="gramEnd"/>
      <w:r w:rsidRPr="004272D3">
        <w:t xml:space="preserve"> Nagano), the notification or correspondence to the Researcher may be issued by the REB Support Staff.</w:t>
      </w:r>
    </w:p>
    <w:p w14:paraId="01B69B4E" w14:textId="73FE53BD" w:rsidR="0069433E" w:rsidRPr="004272D3" w:rsidRDefault="0069433E" w:rsidP="00E15322">
      <w:pPr>
        <w:pStyle w:val="Titre2"/>
        <w:widowControl/>
        <w:tabs>
          <w:tab w:val="left" w:pos="1134"/>
        </w:tabs>
        <w:ind w:left="1134" w:hanging="1134"/>
      </w:pPr>
      <w:bookmarkStart w:id="8" w:name="_Toc151476589"/>
      <w:r w:rsidRPr="004272D3">
        <w:t>Cancellation of REB Review</w:t>
      </w:r>
      <w:bookmarkEnd w:id="8"/>
    </w:p>
    <w:p w14:paraId="5570B5CF" w14:textId="1E81D8EF" w:rsidR="0069433E" w:rsidRPr="004272D3" w:rsidRDefault="0069433E" w:rsidP="00D53438">
      <w:pPr>
        <w:pStyle w:val="Titre3"/>
        <w:widowControl/>
      </w:pPr>
      <w:r w:rsidRPr="004272D3">
        <w:t>The REB may terminate the review process or cancel the initial approval of a research proposal if the Researcher has not responded and/or submitted the requested documents to the REB within 3</w:t>
      </w:r>
      <w:r w:rsidR="00E92206" w:rsidRPr="004272D3">
        <w:t> </w:t>
      </w:r>
      <w:r w:rsidRPr="004272D3">
        <w:t xml:space="preserve">months since the last REB correspondence to the Researcher. </w:t>
      </w:r>
    </w:p>
    <w:p w14:paraId="3D66F861" w14:textId="41EB5A01" w:rsidR="00A2656F" w:rsidRPr="004272D3" w:rsidRDefault="00051146" w:rsidP="00A2656F">
      <w:pPr>
        <w:pStyle w:val="Titre3"/>
        <w:widowControl/>
      </w:pPr>
      <w:r w:rsidRPr="004272D3">
        <w:t>Prior to</w:t>
      </w:r>
      <w:r w:rsidR="00A2656F" w:rsidRPr="004272D3">
        <w:t xml:space="preserve"> the end of the 3-month period, the Researcher may </w:t>
      </w:r>
      <w:r w:rsidRPr="004272D3">
        <w:t xml:space="preserve">submit a </w:t>
      </w:r>
      <w:r w:rsidR="00A2656F" w:rsidRPr="004272D3">
        <w:t xml:space="preserve">request </w:t>
      </w:r>
      <w:r w:rsidRPr="004272D3">
        <w:t>for an extension</w:t>
      </w:r>
      <w:r w:rsidR="00A2656F" w:rsidRPr="004272D3">
        <w:t>. This request must be</w:t>
      </w:r>
      <w:r w:rsidRPr="004272D3">
        <w:t xml:space="preserve"> adequately justified to the satisfaction of </w:t>
      </w:r>
      <w:r w:rsidR="00A2656F" w:rsidRPr="004272D3">
        <w:t xml:space="preserve">the REB. </w:t>
      </w:r>
    </w:p>
    <w:p w14:paraId="5FFBA210" w14:textId="77777777" w:rsidR="00756C58" w:rsidRPr="004272D3" w:rsidRDefault="002E18ED" w:rsidP="00D53438">
      <w:pPr>
        <w:pStyle w:val="Titre1"/>
        <w:widowControl/>
      </w:pPr>
      <w:bookmarkStart w:id="9" w:name="_Toc151476590"/>
      <w:r w:rsidRPr="004272D3">
        <w:t>R</w:t>
      </w:r>
      <w:r w:rsidR="00756C58" w:rsidRPr="004272D3">
        <w:t>eferences</w:t>
      </w:r>
      <w:bookmarkEnd w:id="9"/>
    </w:p>
    <w:p w14:paraId="538524D1" w14:textId="77777777" w:rsidR="00756C58" w:rsidRPr="004272D3" w:rsidRDefault="00A313CE" w:rsidP="00D53438">
      <w:r w:rsidRPr="004272D3">
        <w:t>See footnotes.</w:t>
      </w:r>
    </w:p>
    <w:p w14:paraId="35E23A12" w14:textId="77777777" w:rsidR="00756C58" w:rsidRPr="004272D3" w:rsidRDefault="002E18ED" w:rsidP="00D53438">
      <w:pPr>
        <w:pStyle w:val="Titre1"/>
        <w:widowControl/>
      </w:pPr>
      <w:bookmarkStart w:id="10" w:name="_Toc151476591"/>
      <w:r w:rsidRPr="004272D3">
        <w:t>R</w:t>
      </w:r>
      <w:r w:rsidR="00756C58" w:rsidRPr="004272D3">
        <w:t>evision History</w:t>
      </w:r>
      <w:bookmarkEnd w:id="10"/>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6096"/>
      </w:tblGrid>
      <w:tr w:rsidR="00756C58" w:rsidRPr="004272D3" w14:paraId="687249AB" w14:textId="77777777" w:rsidTr="0030704D">
        <w:tc>
          <w:tcPr>
            <w:tcW w:w="2297" w:type="dxa"/>
            <w:tcBorders>
              <w:right w:val="single" w:sz="4" w:space="0" w:color="auto"/>
            </w:tcBorders>
            <w:shd w:val="clear" w:color="auto" w:fill="auto"/>
            <w:vAlign w:val="center"/>
          </w:tcPr>
          <w:p w14:paraId="42DA9DB4" w14:textId="77777777" w:rsidR="00756C58" w:rsidRPr="004272D3" w:rsidRDefault="00756C58" w:rsidP="00D53438">
            <w:pPr>
              <w:keepNext/>
              <w:spacing w:before="0" w:after="0"/>
              <w:jc w:val="center"/>
              <w:rPr>
                <w:rFonts w:eastAsia="Calibri"/>
                <w:b/>
              </w:rPr>
            </w:pPr>
            <w:r w:rsidRPr="004272D3">
              <w:rPr>
                <w:rFonts w:eastAsia="Calibri"/>
                <w:b/>
              </w:rPr>
              <w:t>SOP Code</w:t>
            </w:r>
          </w:p>
        </w:tc>
        <w:tc>
          <w:tcPr>
            <w:tcW w:w="1559" w:type="dxa"/>
            <w:tcBorders>
              <w:left w:val="single" w:sz="4" w:space="0" w:color="auto"/>
              <w:right w:val="single" w:sz="4" w:space="0" w:color="auto"/>
            </w:tcBorders>
            <w:shd w:val="clear" w:color="auto" w:fill="auto"/>
            <w:vAlign w:val="center"/>
          </w:tcPr>
          <w:p w14:paraId="57E0E213" w14:textId="77777777" w:rsidR="00756C58" w:rsidRPr="004272D3" w:rsidRDefault="00756C58" w:rsidP="00D53438">
            <w:pPr>
              <w:keepNext/>
              <w:spacing w:before="0" w:after="0"/>
              <w:jc w:val="center"/>
              <w:rPr>
                <w:rFonts w:eastAsia="Calibri"/>
                <w:b/>
              </w:rPr>
            </w:pPr>
            <w:r w:rsidRPr="004272D3">
              <w:rPr>
                <w:rFonts w:eastAsia="Calibri"/>
                <w:b/>
              </w:rPr>
              <w:t>Effective Date</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694DCB04" w14:textId="77777777" w:rsidR="00756C58" w:rsidRPr="004272D3" w:rsidRDefault="00756C58" w:rsidP="00D53438">
            <w:pPr>
              <w:keepNext/>
              <w:spacing w:before="0" w:after="0"/>
              <w:jc w:val="left"/>
              <w:rPr>
                <w:rFonts w:eastAsia="Calibri"/>
                <w:b/>
              </w:rPr>
            </w:pPr>
            <w:r w:rsidRPr="004272D3">
              <w:rPr>
                <w:rFonts w:eastAsia="Calibri"/>
                <w:b/>
              </w:rPr>
              <w:t>Summary of Changes</w:t>
            </w:r>
          </w:p>
        </w:tc>
      </w:tr>
      <w:tr w:rsidR="00756C58" w:rsidRPr="004272D3" w14:paraId="62B2060E" w14:textId="77777777" w:rsidTr="0030704D">
        <w:tc>
          <w:tcPr>
            <w:tcW w:w="2297" w:type="dxa"/>
            <w:tcBorders>
              <w:right w:val="single" w:sz="4" w:space="0" w:color="auto"/>
            </w:tcBorders>
            <w:shd w:val="clear" w:color="auto" w:fill="auto"/>
            <w:vAlign w:val="center"/>
          </w:tcPr>
          <w:p w14:paraId="03811093" w14:textId="5FF9F1F3" w:rsidR="00756C58" w:rsidRPr="004272D3" w:rsidRDefault="00756C58" w:rsidP="00D53438">
            <w:pPr>
              <w:keepNext/>
              <w:spacing w:before="0" w:after="0"/>
              <w:jc w:val="left"/>
              <w:rPr>
                <w:rFonts w:eastAsia="Calibri" w:cs="Arial"/>
              </w:rPr>
            </w:pPr>
            <w:r w:rsidRPr="004272D3">
              <w:rPr>
                <w:rFonts w:eastAsia="Calibri"/>
              </w:rPr>
              <w:t>REB</w:t>
            </w:r>
            <w:r w:rsidR="00660163" w:rsidRPr="004272D3">
              <w:rPr>
                <w:rFonts w:eastAsia="Calibri"/>
              </w:rPr>
              <w:t>-</w:t>
            </w:r>
            <w:r w:rsidRPr="004272D3">
              <w:rPr>
                <w:rFonts w:eastAsia="Calibri"/>
              </w:rPr>
              <w:t>SOP</w:t>
            </w:r>
            <w:r w:rsidR="00660163" w:rsidRPr="004272D3">
              <w:rPr>
                <w:rFonts w:eastAsia="Calibri"/>
              </w:rPr>
              <w:t xml:space="preserve"> </w:t>
            </w:r>
            <w:r w:rsidR="00E92206" w:rsidRPr="004272D3">
              <w:rPr>
                <w:rFonts w:eastAsia="Calibri"/>
              </w:rPr>
              <w:t>401</w:t>
            </w:r>
            <w:r w:rsidR="00100A98" w:rsidRPr="004272D3">
              <w:rPr>
                <w:rFonts w:eastAsia="Calibri"/>
              </w:rPr>
              <w:t>-</w:t>
            </w:r>
            <w:r w:rsidR="00E92206" w:rsidRPr="004272D3">
              <w:rPr>
                <w:rFonts w:eastAsia="Calibri"/>
              </w:rPr>
              <w:t>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6576A7" w14:textId="12C3DC6F" w:rsidR="00756C58" w:rsidRPr="004272D3" w:rsidRDefault="00100A98" w:rsidP="00D53438">
            <w:pPr>
              <w:keepNext/>
              <w:spacing w:before="0" w:after="0"/>
              <w:jc w:val="center"/>
              <w:rPr>
                <w:rFonts w:eastAsia="Calibri"/>
              </w:rPr>
            </w:pPr>
            <w:r w:rsidRPr="004272D3">
              <w:rPr>
                <w:rFonts w:eastAsia="Calibri"/>
              </w:rPr>
              <w:t>2019-04-01</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4858E55" w14:textId="77777777" w:rsidR="00756C58" w:rsidRPr="004272D3" w:rsidRDefault="00756C58" w:rsidP="00D53438">
            <w:pPr>
              <w:keepNext/>
              <w:spacing w:before="0" w:after="0"/>
              <w:jc w:val="left"/>
              <w:rPr>
                <w:rFonts w:eastAsia="Calibri"/>
              </w:rPr>
            </w:pPr>
            <w:r w:rsidRPr="004272D3">
              <w:rPr>
                <w:rFonts w:eastAsia="Calibri"/>
              </w:rPr>
              <w:t xml:space="preserve">Original </w:t>
            </w:r>
            <w:r w:rsidR="00B43B4B" w:rsidRPr="004272D3">
              <w:rPr>
                <w:rFonts w:eastAsia="Calibri"/>
              </w:rPr>
              <w:t>v</w:t>
            </w:r>
            <w:r w:rsidRPr="004272D3">
              <w:rPr>
                <w:rFonts w:eastAsia="Calibri"/>
              </w:rPr>
              <w:t>ersion</w:t>
            </w:r>
          </w:p>
        </w:tc>
      </w:tr>
      <w:tr w:rsidR="00100A98" w:rsidRPr="004272D3" w14:paraId="3A96BE84" w14:textId="77777777" w:rsidTr="0030704D">
        <w:tc>
          <w:tcPr>
            <w:tcW w:w="2297" w:type="dxa"/>
            <w:tcBorders>
              <w:right w:val="single" w:sz="4" w:space="0" w:color="auto"/>
            </w:tcBorders>
            <w:shd w:val="clear" w:color="auto" w:fill="auto"/>
            <w:vAlign w:val="center"/>
          </w:tcPr>
          <w:p w14:paraId="629F233F" w14:textId="4145CCD5" w:rsidR="00100A98" w:rsidRPr="004272D3" w:rsidRDefault="00100A98" w:rsidP="00100A98">
            <w:pPr>
              <w:keepNext/>
              <w:spacing w:before="0" w:after="0"/>
              <w:jc w:val="left"/>
              <w:rPr>
                <w:rFonts w:eastAsia="Calibri"/>
              </w:rPr>
            </w:pPr>
            <w:r w:rsidRPr="004272D3">
              <w:rPr>
                <w:rFonts w:eastAsia="Calibri"/>
              </w:rPr>
              <w:t>REB-SOP 401-002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1811C4" w14:textId="1B1BA8B9" w:rsidR="00100A98" w:rsidRPr="004272D3" w:rsidRDefault="00100A98" w:rsidP="00100A98">
            <w:pPr>
              <w:keepNext/>
              <w:spacing w:before="0" w:after="0"/>
              <w:jc w:val="center"/>
              <w:rPr>
                <w:rFonts w:eastAsia="Calibri"/>
              </w:rPr>
            </w:pPr>
            <w:r w:rsidRPr="004272D3">
              <w:rPr>
                <w:rFonts w:eastAsia="Calibri"/>
              </w:rPr>
              <w:t>YYYY-MM-DD</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1A656EEA" w14:textId="77777777" w:rsidR="00100A98" w:rsidRPr="004272D3" w:rsidRDefault="00100A98" w:rsidP="00100A98">
            <w:pPr>
              <w:keepNext/>
              <w:spacing w:before="0" w:after="0"/>
              <w:jc w:val="left"/>
              <w:rPr>
                <w:rFonts w:eastAsia="Calibri"/>
              </w:rPr>
            </w:pPr>
            <w:r w:rsidRPr="004272D3">
              <w:rPr>
                <w:rFonts w:eastAsia="Calibri"/>
              </w:rPr>
              <w:t xml:space="preserve">Updated in line with regulations in </w:t>
            </w:r>
            <w:proofErr w:type="gramStart"/>
            <w:r w:rsidRPr="004272D3">
              <w:rPr>
                <w:rFonts w:eastAsia="Calibri"/>
              </w:rPr>
              <w:t>effect</w:t>
            </w:r>
            <w:proofErr w:type="gramEnd"/>
          </w:p>
          <w:p w14:paraId="4C6E3291" w14:textId="5070BA38" w:rsidR="00100A98" w:rsidRPr="004272D3" w:rsidRDefault="00100A98" w:rsidP="00100A98">
            <w:pPr>
              <w:keepNext/>
              <w:spacing w:before="0" w:after="0"/>
              <w:jc w:val="left"/>
              <w:rPr>
                <w:rFonts w:eastAsia="Calibri"/>
              </w:rPr>
            </w:pPr>
            <w:r w:rsidRPr="004272D3">
              <w:rPr>
                <w:rFonts w:eastAsia="Calibri"/>
              </w:rPr>
              <w:t>Updated references</w:t>
            </w:r>
          </w:p>
        </w:tc>
      </w:tr>
      <w:tr w:rsidR="00756C58" w:rsidRPr="004272D3" w14:paraId="0E8CF477" w14:textId="77777777" w:rsidTr="0030704D">
        <w:tc>
          <w:tcPr>
            <w:tcW w:w="2297" w:type="dxa"/>
            <w:tcBorders>
              <w:right w:val="single" w:sz="4" w:space="0" w:color="auto"/>
            </w:tcBorders>
            <w:shd w:val="clear" w:color="auto" w:fill="auto"/>
            <w:vAlign w:val="center"/>
          </w:tcPr>
          <w:p w14:paraId="44179FA0" w14:textId="77777777" w:rsidR="00756C58" w:rsidRPr="004272D3" w:rsidRDefault="00756C58" w:rsidP="00D53438">
            <w:pPr>
              <w:keepNext/>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59539683" w14:textId="77777777" w:rsidR="00756C58" w:rsidRPr="004272D3" w:rsidRDefault="00756C58" w:rsidP="00D53438">
            <w:pPr>
              <w:keepNext/>
              <w:spacing w:before="0" w:after="0"/>
              <w:jc w:val="center"/>
              <w:rPr>
                <w:rFonts w:eastAsia="Calibri"/>
              </w:rPr>
            </w:pPr>
          </w:p>
        </w:tc>
        <w:tc>
          <w:tcPr>
            <w:tcW w:w="6096" w:type="dxa"/>
            <w:tcBorders>
              <w:top w:val="single" w:sz="4" w:space="0" w:color="auto"/>
              <w:left w:val="single" w:sz="4" w:space="0" w:color="auto"/>
              <w:bottom w:val="single" w:sz="4" w:space="0" w:color="auto"/>
              <w:right w:val="single" w:sz="4" w:space="0" w:color="auto"/>
            </w:tcBorders>
            <w:shd w:val="clear" w:color="auto" w:fill="auto"/>
            <w:vAlign w:val="center"/>
          </w:tcPr>
          <w:p w14:paraId="76C2142D" w14:textId="77777777" w:rsidR="00756C58" w:rsidRPr="004272D3" w:rsidRDefault="00756C58" w:rsidP="00D53438">
            <w:pPr>
              <w:keepNext/>
              <w:spacing w:before="0" w:after="0"/>
              <w:jc w:val="left"/>
              <w:rPr>
                <w:rFonts w:eastAsia="Calibri"/>
              </w:rPr>
            </w:pPr>
          </w:p>
        </w:tc>
      </w:tr>
    </w:tbl>
    <w:p w14:paraId="508B4548" w14:textId="77777777" w:rsidR="00756C58" w:rsidRPr="004272D3" w:rsidRDefault="002E18ED" w:rsidP="00D53438">
      <w:pPr>
        <w:pStyle w:val="Titre1"/>
        <w:widowControl/>
      </w:pPr>
      <w:bookmarkStart w:id="11" w:name="_Toc151476592"/>
      <w:r w:rsidRPr="004272D3">
        <w:t>Appendices</w:t>
      </w:r>
      <w:bookmarkEnd w:id="11"/>
    </w:p>
    <w:p w14:paraId="09EDC303" w14:textId="77777777" w:rsidR="00756C58" w:rsidRPr="004272D3" w:rsidRDefault="00756C58" w:rsidP="00D53438"/>
    <w:sectPr w:rsidR="00756C58" w:rsidRPr="004272D3" w:rsidSect="0030269A">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ADA1" w14:textId="77777777" w:rsidR="004842FE" w:rsidRDefault="004842FE" w:rsidP="0030269A">
      <w:pPr>
        <w:spacing w:before="0" w:after="0"/>
      </w:pPr>
      <w:r>
        <w:separator/>
      </w:r>
    </w:p>
  </w:endnote>
  <w:endnote w:type="continuationSeparator" w:id="0">
    <w:p w14:paraId="56C67D06" w14:textId="77777777" w:rsidR="004842FE" w:rsidRDefault="004842FE" w:rsidP="003026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E9D1" w14:textId="77777777" w:rsidR="002E18ED" w:rsidRPr="00627E38" w:rsidRDefault="002E18ED" w:rsidP="002E18ED">
    <w:pPr>
      <w:pStyle w:val="Pieddepage"/>
      <w:pBdr>
        <w:bottom w:val="single" w:sz="4" w:space="1" w:color="auto"/>
      </w:pBdr>
      <w:rPr>
        <w:sz w:val="20"/>
        <w:szCs w:val="20"/>
      </w:rPr>
    </w:pPr>
  </w:p>
  <w:p w14:paraId="20A79E57" w14:textId="23C3E58F" w:rsidR="002E18ED" w:rsidRPr="002E18ED" w:rsidRDefault="002E18ED" w:rsidP="22F065B8">
    <w:pPr>
      <w:pStyle w:val="Pieddepage"/>
      <w:tabs>
        <w:tab w:val="clear" w:pos="4153"/>
        <w:tab w:val="clear" w:pos="8306"/>
        <w:tab w:val="right" w:pos="10065"/>
      </w:tabs>
      <w:rPr>
        <w:sz w:val="20"/>
        <w:szCs w:val="20"/>
        <w:lang w:val="en-US"/>
      </w:rPr>
    </w:pPr>
    <w:r w:rsidRPr="790FAFCF">
      <w:rPr>
        <w:color w:val="A6A6A6" w:themeColor="background1" w:themeShade="A6"/>
        <w:sz w:val="20"/>
        <w:szCs w:val="20"/>
        <w:lang w:val="en-US"/>
      </w:rPr>
      <w:t>N2 CAREB</w:t>
    </w:r>
    <w:r w:rsidR="00C36F0E">
      <w:rPr>
        <w:color w:val="A6A6A6" w:themeColor="background1" w:themeShade="A6"/>
        <w:sz w:val="20"/>
        <w:szCs w:val="20"/>
        <w:lang w:val="en-US"/>
      </w:rPr>
      <w:t xml:space="preserve"> SOP updated to reflect Quebec standards</w:t>
    </w:r>
    <w:r w:rsidRPr="002E18ED">
      <w:rPr>
        <w:rFonts w:cstheme="minorHAnsi"/>
        <w:sz w:val="20"/>
        <w:szCs w:val="20"/>
        <w:lang w:val="en-US"/>
      </w:rPr>
      <w:tab/>
    </w:r>
    <w:r w:rsidRPr="790FAFCF">
      <w:rPr>
        <w:sz w:val="20"/>
        <w:szCs w:val="20"/>
        <w:lang w:val="en-US"/>
      </w:rPr>
      <w:t xml:space="preserve">Page </w:t>
    </w:r>
    <w:r w:rsidRPr="790FAFCF">
      <w:rPr>
        <w:sz w:val="20"/>
        <w:szCs w:val="20"/>
        <w:lang w:val="en-US"/>
      </w:rPr>
      <w:fldChar w:fldCharType="begin"/>
    </w:r>
    <w:r w:rsidRPr="002E18ED">
      <w:rPr>
        <w:rFonts w:cstheme="minorHAnsi"/>
        <w:sz w:val="20"/>
        <w:szCs w:val="20"/>
        <w:lang w:val="en-US"/>
      </w:rPr>
      <w:instrText xml:space="preserve"> PAGE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r w:rsidRPr="790FAFCF">
      <w:rPr>
        <w:sz w:val="20"/>
        <w:szCs w:val="20"/>
        <w:lang w:val="en-US"/>
      </w:rPr>
      <w:t xml:space="preserve"> of </w:t>
    </w:r>
    <w:r w:rsidRPr="790FAFCF">
      <w:rPr>
        <w:sz w:val="20"/>
        <w:szCs w:val="20"/>
        <w:lang w:val="en-US"/>
      </w:rPr>
      <w:fldChar w:fldCharType="begin"/>
    </w:r>
    <w:r w:rsidRPr="002E18ED">
      <w:rPr>
        <w:rFonts w:cstheme="minorHAnsi"/>
        <w:sz w:val="20"/>
        <w:szCs w:val="20"/>
        <w:lang w:val="en-US"/>
      </w:rPr>
      <w:instrText xml:space="preserve"> NUMPAGES </w:instrText>
    </w:r>
    <w:r w:rsidRPr="790FAFCF">
      <w:rPr>
        <w:rFonts w:cstheme="minorHAnsi"/>
        <w:sz w:val="20"/>
        <w:szCs w:val="20"/>
      </w:rPr>
      <w:fldChar w:fldCharType="separate"/>
    </w:r>
    <w:r w:rsidRPr="790FAFCF">
      <w:rPr>
        <w:sz w:val="20"/>
        <w:szCs w:val="20"/>
        <w:lang w:val="en-US"/>
      </w:rPr>
      <w:t>1</w:t>
    </w:r>
    <w:r w:rsidRPr="790FAFCF">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FAEC" w14:textId="77777777" w:rsidR="004842FE" w:rsidRDefault="004842FE" w:rsidP="0030269A">
      <w:pPr>
        <w:spacing w:before="0" w:after="0"/>
      </w:pPr>
      <w:r>
        <w:separator/>
      </w:r>
    </w:p>
  </w:footnote>
  <w:footnote w:type="continuationSeparator" w:id="0">
    <w:p w14:paraId="0356ED65" w14:textId="77777777" w:rsidR="004842FE" w:rsidRDefault="004842FE" w:rsidP="0030269A">
      <w:pPr>
        <w:spacing w:before="0" w:after="0"/>
      </w:pPr>
      <w:r>
        <w:continuationSeparator/>
      </w:r>
    </w:p>
  </w:footnote>
  <w:footnote w:id="1">
    <w:p w14:paraId="326777D2" w14:textId="608C3BD0" w:rsidR="0069433E" w:rsidRDefault="0069433E" w:rsidP="0069433E">
      <w:pPr>
        <w:pStyle w:val="Notedebasdepage"/>
        <w:jc w:val="left"/>
      </w:pPr>
      <w:r w:rsidRPr="00367BD3">
        <w:rPr>
          <w:rStyle w:val="Appelnotedebasdep"/>
        </w:rPr>
        <w:footnoteRef/>
      </w:r>
      <w:r w:rsidRPr="009E1B42">
        <w:t xml:space="preserve"> </w:t>
      </w:r>
      <w:r w:rsidRPr="009E1B42">
        <w:tab/>
      </w:r>
      <w:r w:rsidR="008A713C">
        <w:t xml:space="preserve">Guidance Document: Good Clinical Practice: Integrated Addendum to E6(R1) ICH Topic E6(R2), Health Canada, April 2019, hereafter </w:t>
      </w:r>
      <w:r w:rsidR="00507CE8">
        <w:t>“</w:t>
      </w:r>
      <w:r w:rsidR="008A713C">
        <w:t>IHC GCP</w:t>
      </w:r>
      <w:r w:rsidR="00507CE8">
        <w:t>”</w:t>
      </w:r>
      <w:r w:rsidR="008A713C">
        <w:t xml:space="preserve">, s. 3.1.2 and 3.3.9; Canadian Institutes of Health Research, Natural </w:t>
      </w:r>
      <w:r w:rsidR="00507CE8">
        <w:t>S</w:t>
      </w:r>
      <w:r w:rsidR="008A713C">
        <w:t xml:space="preserve">ciences and Engineering Research Council of Canada, and Social Sciences and Humanities </w:t>
      </w:r>
      <w:r w:rsidR="00507CE8">
        <w:t>R</w:t>
      </w:r>
      <w:r w:rsidR="008A713C">
        <w:t xml:space="preserve">esearch Council of Canada, Tri-Council Policy Statement: Ethical Conduct for Research Involving Humans, </w:t>
      </w:r>
      <w:r w:rsidR="008B0C01" w:rsidRPr="001351BE">
        <w:t>December 201</w:t>
      </w:r>
      <w:r w:rsidR="008B0C01">
        <w:t xml:space="preserve">8, </w:t>
      </w:r>
      <w:r w:rsidR="008A713C">
        <w:t>hereafter “TCPS2”, art. 6.3.</w:t>
      </w:r>
    </w:p>
  </w:footnote>
  <w:footnote w:id="2">
    <w:p w14:paraId="5CB4DF3A" w14:textId="1F35C6CC" w:rsidR="008A713C" w:rsidRDefault="008A713C">
      <w:pPr>
        <w:pStyle w:val="Notedebasdepage"/>
      </w:pPr>
      <w:r>
        <w:rPr>
          <w:rStyle w:val="Appelnotedebasdep"/>
        </w:rPr>
        <w:footnoteRef/>
      </w:r>
      <w:r>
        <w:t xml:space="preserve"> </w:t>
      </w:r>
      <w:r>
        <w:tab/>
        <w:t xml:space="preserve">See </w:t>
      </w:r>
      <w:r w:rsidR="00EF0BB6">
        <w:t>REB-</w:t>
      </w:r>
      <w:r>
        <w:t>SOP 105A-002.</w:t>
      </w:r>
    </w:p>
  </w:footnote>
  <w:footnote w:id="3">
    <w:p w14:paraId="645F0BF6" w14:textId="7C7B856E" w:rsidR="008A713C" w:rsidRPr="009E1B42" w:rsidRDefault="008A713C" w:rsidP="008A713C">
      <w:pPr>
        <w:pStyle w:val="Notedebasdepage"/>
        <w:jc w:val="left"/>
      </w:pPr>
      <w:r w:rsidRPr="00367BD3">
        <w:rPr>
          <w:rStyle w:val="Appelnotedebasdep"/>
        </w:rPr>
        <w:footnoteRef/>
      </w:r>
      <w:r w:rsidRPr="009E1B42">
        <w:t xml:space="preserve"> </w:t>
      </w:r>
      <w:r w:rsidRPr="009E1B42">
        <w:tab/>
      </w:r>
      <w:r>
        <w:t xml:space="preserve">See </w:t>
      </w:r>
      <w:r w:rsidR="00EF0BB6">
        <w:t>REB-</w:t>
      </w:r>
      <w:r>
        <w:t>SOP 403-002.</w:t>
      </w:r>
    </w:p>
  </w:footnote>
  <w:footnote w:id="4">
    <w:p w14:paraId="2D5AC126" w14:textId="4135F90A" w:rsidR="008A713C" w:rsidRDefault="008A713C" w:rsidP="008A713C">
      <w:pPr>
        <w:pStyle w:val="Notedebasdepage"/>
      </w:pPr>
      <w:r>
        <w:rPr>
          <w:rStyle w:val="Appelnotedebasdep"/>
        </w:rPr>
        <w:footnoteRef/>
      </w:r>
      <w:r>
        <w:t xml:space="preserve"> </w:t>
      </w:r>
      <w:r>
        <w:tab/>
        <w:t>TCPS2, Application under 6.12</w:t>
      </w:r>
      <w:r w:rsidR="00507CE8">
        <w:t>.</w:t>
      </w:r>
    </w:p>
  </w:footnote>
  <w:footnote w:id="5">
    <w:p w14:paraId="04BBE49F" w14:textId="18087F11" w:rsidR="004272D3" w:rsidRPr="004272D3" w:rsidRDefault="004272D3" w:rsidP="004272D3">
      <w:pPr>
        <w:pStyle w:val="Notedebasdepage"/>
        <w:rPr>
          <w:lang w:val="fr-CA"/>
        </w:rPr>
      </w:pPr>
      <w:r w:rsidRPr="004272D3">
        <w:rPr>
          <w:rStyle w:val="Appelnotedebasdep"/>
        </w:rPr>
        <w:footnoteRef/>
      </w:r>
      <w:r w:rsidRPr="004272D3">
        <w:t xml:space="preserve"> </w:t>
      </w:r>
      <w:r>
        <w:tab/>
      </w:r>
      <w:r w:rsidRPr="004272D3">
        <w:t>TCPS2, art. 6.19 and 6.20.</w:t>
      </w:r>
    </w:p>
  </w:footnote>
  <w:footnote w:id="6">
    <w:p w14:paraId="11D8DA24" w14:textId="1FE7BB48" w:rsidR="004272D3" w:rsidRPr="004272D3" w:rsidRDefault="004272D3" w:rsidP="004272D3">
      <w:pPr>
        <w:tabs>
          <w:tab w:val="left" w:pos="284"/>
        </w:tabs>
        <w:spacing w:before="0" w:after="0"/>
        <w:ind w:left="284" w:hanging="284"/>
        <w:rPr>
          <w:sz w:val="20"/>
          <w:szCs w:val="20"/>
        </w:rPr>
      </w:pPr>
      <w:r w:rsidRPr="004272D3">
        <w:rPr>
          <w:rStyle w:val="Appelnotedebasdep"/>
          <w:sz w:val="20"/>
          <w:szCs w:val="20"/>
        </w:rPr>
        <w:footnoteRef/>
      </w:r>
      <w:r w:rsidRPr="004272D3">
        <w:rPr>
          <w:sz w:val="20"/>
          <w:szCs w:val="20"/>
        </w:rPr>
        <w:t xml:space="preserve"> </w:t>
      </w:r>
      <w:r>
        <w:rPr>
          <w:sz w:val="20"/>
          <w:szCs w:val="20"/>
        </w:rPr>
        <w:tab/>
      </w:r>
      <w:r w:rsidRPr="004272D3">
        <w:rPr>
          <w:sz w:val="20"/>
          <w:szCs w:val="20"/>
        </w:rPr>
        <w:t>Operational Guidelines for Ethics Committees that Review Biomedical Research, World Health Organization (WHO), 2000, hereafter “TDR”, s. 7.6; TCPS2, application wording under art. 6.13.</w:t>
      </w:r>
    </w:p>
  </w:footnote>
  <w:footnote w:id="7">
    <w:p w14:paraId="7EA10B43" w14:textId="77777777" w:rsidR="0069433E" w:rsidRPr="004272D3" w:rsidRDefault="0069433E" w:rsidP="004272D3">
      <w:pPr>
        <w:pStyle w:val="Notedebasdepage"/>
        <w:jc w:val="left"/>
      </w:pPr>
      <w:r w:rsidRPr="004272D3">
        <w:rPr>
          <w:rStyle w:val="Appelnotedebasdep"/>
        </w:rPr>
        <w:footnoteRef/>
      </w:r>
      <w:r w:rsidRPr="004272D3">
        <w:t xml:space="preserve"> </w:t>
      </w:r>
      <w:r w:rsidRPr="004272D3">
        <w:tab/>
        <w:t>TDR, s. 7.6.</w:t>
      </w:r>
    </w:p>
  </w:footnote>
  <w:footnote w:id="8">
    <w:p w14:paraId="63A9D562" w14:textId="4A0EF885" w:rsidR="0069433E" w:rsidRPr="009E1B42" w:rsidRDefault="0069433E" w:rsidP="004272D3">
      <w:pPr>
        <w:pStyle w:val="Notedebasdepage"/>
        <w:jc w:val="left"/>
        <w:rPr>
          <w:lang w:val="de-DE"/>
        </w:rPr>
      </w:pPr>
      <w:r w:rsidRPr="004272D3">
        <w:rPr>
          <w:rStyle w:val="Appelnotedebasdep"/>
        </w:rPr>
        <w:footnoteRef/>
      </w:r>
      <w:r w:rsidRPr="004272D3">
        <w:rPr>
          <w:lang w:val="de-DE"/>
        </w:rPr>
        <w:t xml:space="preserve"> </w:t>
      </w:r>
      <w:r w:rsidRPr="004272D3">
        <w:rPr>
          <w:lang w:val="de-DE"/>
        </w:rPr>
        <w:tab/>
        <w:t>ICH GCP, s. 3.1.2; TCPS2, art. 6.3.</w:t>
      </w:r>
    </w:p>
  </w:footnote>
  <w:footnote w:id="9">
    <w:p w14:paraId="27753584" w14:textId="25E60A18" w:rsidR="0069433E" w:rsidRPr="00FA05AA" w:rsidRDefault="0069433E" w:rsidP="0069433E">
      <w:pPr>
        <w:pStyle w:val="Notedebasdepage"/>
        <w:jc w:val="left"/>
      </w:pPr>
      <w:r w:rsidRPr="00367BD3">
        <w:rPr>
          <w:rStyle w:val="Appelnotedebasdep"/>
        </w:rPr>
        <w:footnoteRef/>
      </w:r>
      <w:r w:rsidRPr="00FA05AA">
        <w:t xml:space="preserve"> </w:t>
      </w:r>
      <w:r w:rsidRPr="00FA05AA">
        <w:tab/>
      </w:r>
      <w:r w:rsidR="00A0020D" w:rsidRPr="00FA05AA">
        <w:t xml:space="preserve">TCPS2, art. 6.17; </w:t>
      </w:r>
      <w:r w:rsidRPr="00FA05AA">
        <w:t>TDR, s. 7.9 and 8.13.</w:t>
      </w:r>
    </w:p>
  </w:footnote>
  <w:footnote w:id="10">
    <w:p w14:paraId="5692C8DE" w14:textId="204304AB" w:rsidR="0069433E" w:rsidRDefault="0069433E" w:rsidP="0069433E">
      <w:pPr>
        <w:pStyle w:val="Notedebasdepage"/>
        <w:jc w:val="left"/>
      </w:pPr>
      <w:r w:rsidRPr="00367BD3">
        <w:rPr>
          <w:rStyle w:val="Appelnotedebasdep"/>
        </w:rPr>
        <w:footnoteRef/>
      </w:r>
      <w:r w:rsidRPr="00367BD3">
        <w:t xml:space="preserve"> </w:t>
      </w:r>
      <w:r w:rsidRPr="00367BD3">
        <w:tab/>
      </w:r>
      <w:r w:rsidR="00A0020D" w:rsidRPr="008B0C01">
        <w:rPr>
          <w:iCs/>
        </w:rPr>
        <w:t>TCPS2, art. 6.18 and 6.19</w:t>
      </w:r>
      <w:r w:rsidRPr="006F6427">
        <w:rPr>
          <w:lang w:val="en-US"/>
        </w:rPr>
        <w:t>.</w:t>
      </w:r>
    </w:p>
  </w:footnote>
  <w:footnote w:id="11">
    <w:p w14:paraId="5CD7E759" w14:textId="79C23A28" w:rsidR="00A0020D" w:rsidRDefault="00A0020D">
      <w:pPr>
        <w:pStyle w:val="Notedebasdepage"/>
      </w:pPr>
      <w:r>
        <w:rPr>
          <w:rStyle w:val="Appelnotedebasdep"/>
        </w:rPr>
        <w:footnoteRef/>
      </w:r>
      <w:r>
        <w:t xml:space="preserve"> </w:t>
      </w:r>
      <w:r>
        <w:tab/>
        <w:t xml:space="preserve">See </w:t>
      </w:r>
      <w:r w:rsidR="00EF0BB6">
        <w:t>REB-</w:t>
      </w:r>
      <w:r>
        <w:t>SOP 403-002</w:t>
      </w:r>
    </w:p>
  </w:footnote>
  <w:footnote w:id="12">
    <w:p w14:paraId="281A799F" w14:textId="25F11C46" w:rsidR="00A0020D" w:rsidRDefault="00A0020D">
      <w:pPr>
        <w:pStyle w:val="Notedebasdepage"/>
      </w:pPr>
      <w:r>
        <w:rPr>
          <w:rStyle w:val="Appelnotedebasdep"/>
        </w:rPr>
        <w:footnoteRef/>
      </w:r>
      <w:r>
        <w:t xml:space="preserve"> </w:t>
      </w:r>
      <w:r>
        <w:tab/>
        <w:t>TCPS2</w:t>
      </w:r>
      <w:r w:rsidR="008F4352">
        <w:t>, art. 6.18 and 6.19.</w:t>
      </w:r>
    </w:p>
  </w:footnote>
  <w:footnote w:id="13">
    <w:p w14:paraId="4466DB68" w14:textId="4616CB0B" w:rsidR="0069433E" w:rsidRPr="009E1B42" w:rsidRDefault="0069433E" w:rsidP="0069433E">
      <w:pPr>
        <w:pStyle w:val="Notedebasdepage"/>
        <w:jc w:val="left"/>
      </w:pPr>
      <w:r w:rsidRPr="00367BD3">
        <w:rPr>
          <w:rStyle w:val="Appelnotedebasdep"/>
        </w:rPr>
        <w:footnoteRef/>
      </w:r>
      <w:r w:rsidRPr="009E1B42">
        <w:t xml:space="preserve"> </w:t>
      </w:r>
      <w:r w:rsidRPr="009E1B42">
        <w:tab/>
        <w:t>TCPS2</w:t>
      </w:r>
      <w:r w:rsidRPr="00EF44EC">
        <w:t xml:space="preserve">, </w:t>
      </w:r>
      <w:r w:rsidR="008F4352">
        <w:t>application wording under art. 6.20</w:t>
      </w:r>
      <w:r w:rsidRPr="00EF44EC">
        <w:t>.</w:t>
      </w:r>
    </w:p>
  </w:footnote>
  <w:footnote w:id="14">
    <w:p w14:paraId="230B53DF" w14:textId="58B953B9" w:rsidR="00B51CCF" w:rsidRDefault="00B51CCF">
      <w:pPr>
        <w:pStyle w:val="Notedebasdepage"/>
      </w:pPr>
      <w:r>
        <w:rPr>
          <w:rStyle w:val="Appelnotedebasdep"/>
        </w:rPr>
        <w:footnoteRef/>
      </w:r>
      <w:r>
        <w:t xml:space="preserve"> </w:t>
      </w:r>
      <w:r>
        <w:tab/>
        <w:t xml:space="preserve">TCPS2, </w:t>
      </w:r>
      <w:r w:rsidR="00507CE8">
        <w:t>art</w:t>
      </w:r>
      <w:r>
        <w:t>. 6.20.</w:t>
      </w:r>
    </w:p>
  </w:footnote>
  <w:footnote w:id="15">
    <w:p w14:paraId="1E7D5DAB" w14:textId="0A41DD64" w:rsidR="00B51CCF" w:rsidRDefault="00B51CCF">
      <w:pPr>
        <w:pStyle w:val="Notedebasdepage"/>
      </w:pPr>
      <w:r>
        <w:rPr>
          <w:rStyle w:val="Appelnotedebasdep"/>
        </w:rPr>
        <w:footnoteRef/>
      </w:r>
      <w:r>
        <w:t xml:space="preserve"> </w:t>
      </w:r>
      <w:r>
        <w:tab/>
        <w:t>TCPS2, art. 6.20.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D772" w14:textId="77777777" w:rsidR="0030269A" w:rsidRDefault="0030269A" w:rsidP="0030269A">
    <w:pPr>
      <w:pStyle w:val="En-tte"/>
    </w:pPr>
  </w:p>
  <w:tbl>
    <w:tblPr>
      <w:tblW w:w="0" w:type="auto"/>
      <w:tblLook w:val="04A0" w:firstRow="1" w:lastRow="0" w:firstColumn="1" w:lastColumn="0" w:noHBand="0" w:noVBand="1"/>
    </w:tblPr>
    <w:tblGrid>
      <w:gridCol w:w="4957"/>
      <w:gridCol w:w="5113"/>
    </w:tblGrid>
    <w:tr w:rsidR="0030269A" w:rsidRPr="005A11F5" w14:paraId="415755C7" w14:textId="77777777" w:rsidTr="58B8826E">
      <w:trPr>
        <w:trHeight w:val="567"/>
      </w:trPr>
      <w:tc>
        <w:tcPr>
          <w:tcW w:w="4957" w:type="dxa"/>
          <w:vMerge w:val="restart"/>
          <w:tcBorders>
            <w:right w:val="single" w:sz="4" w:space="0" w:color="auto"/>
          </w:tcBorders>
          <w:shd w:val="clear" w:color="auto" w:fill="auto"/>
          <w:vAlign w:val="center"/>
        </w:tcPr>
        <w:p w14:paraId="20420011" w14:textId="13682242" w:rsidR="0030269A" w:rsidRPr="00406030" w:rsidRDefault="0030269A" w:rsidP="0030269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1F0942E0" w14:textId="0AFF7BDD" w:rsidR="0030269A" w:rsidRPr="00D0004E" w:rsidRDefault="58B8826E" w:rsidP="58B8826E">
          <w:pPr>
            <w:spacing w:before="0" w:after="0"/>
            <w:jc w:val="right"/>
            <w:rPr>
              <w:sz w:val="32"/>
              <w:szCs w:val="32"/>
              <w:lang w:val="en-US"/>
            </w:rPr>
          </w:pPr>
          <w:r w:rsidRPr="58B8826E">
            <w:rPr>
              <w:sz w:val="32"/>
              <w:szCs w:val="32"/>
              <w:lang w:val="en-US"/>
            </w:rPr>
            <w:t>REB-SOP</w:t>
          </w:r>
          <w:r w:rsidR="00660163">
            <w:rPr>
              <w:sz w:val="32"/>
              <w:szCs w:val="32"/>
              <w:lang w:val="en-US"/>
            </w:rPr>
            <w:t xml:space="preserve"> </w:t>
          </w:r>
          <w:r w:rsidR="00D07034" w:rsidRPr="00D07034">
            <w:rPr>
              <w:sz w:val="32"/>
              <w:szCs w:val="32"/>
              <w:lang w:val="en-US"/>
            </w:rPr>
            <w:t>401</w:t>
          </w:r>
          <w:r w:rsidR="00C36F0E">
            <w:rPr>
              <w:sz w:val="32"/>
              <w:szCs w:val="32"/>
              <w:lang w:val="en-US"/>
            </w:rPr>
            <w:t>-002</w:t>
          </w:r>
        </w:p>
      </w:tc>
    </w:tr>
    <w:tr w:rsidR="0030269A" w:rsidRPr="005A11F5" w14:paraId="3759C397" w14:textId="77777777" w:rsidTr="58B8826E">
      <w:trPr>
        <w:trHeight w:val="567"/>
      </w:trPr>
      <w:tc>
        <w:tcPr>
          <w:tcW w:w="4957" w:type="dxa"/>
          <w:vMerge/>
        </w:tcPr>
        <w:p w14:paraId="4E829B4B" w14:textId="77777777" w:rsidR="0030269A" w:rsidRPr="002F7EC5" w:rsidRDefault="0030269A" w:rsidP="0030269A">
          <w:pPr>
            <w:pStyle w:val="En-tte"/>
            <w:rPr>
              <w:rFonts w:eastAsia="Calibri"/>
              <w:lang w:val="en-US"/>
            </w:rPr>
          </w:pPr>
        </w:p>
      </w:tc>
      <w:tc>
        <w:tcPr>
          <w:tcW w:w="5113" w:type="dxa"/>
          <w:tcBorders>
            <w:left w:val="single" w:sz="4" w:space="0" w:color="auto"/>
            <w:bottom w:val="single" w:sz="4" w:space="0" w:color="auto"/>
            <w:right w:val="single" w:sz="4" w:space="0" w:color="auto"/>
          </w:tcBorders>
          <w:shd w:val="clear" w:color="auto" w:fill="auto"/>
          <w:vAlign w:val="center"/>
        </w:tcPr>
        <w:p w14:paraId="038C6A96" w14:textId="77777777" w:rsidR="0030269A" w:rsidRPr="002F7EC5" w:rsidRDefault="0030269A" w:rsidP="0030269A">
          <w:pPr>
            <w:spacing w:before="0" w:after="0"/>
            <w:jc w:val="right"/>
            <w:rPr>
              <w:lang w:val="en-US"/>
            </w:rPr>
          </w:pPr>
          <w:r w:rsidRPr="002F7EC5">
            <w:rPr>
              <w:lang w:val="en-US"/>
            </w:rPr>
            <w:t>Research Ethics Board</w:t>
          </w:r>
        </w:p>
        <w:p w14:paraId="3CE1A3E8" w14:textId="77777777" w:rsidR="0030269A" w:rsidRPr="002F7EC5" w:rsidRDefault="0030269A" w:rsidP="0030269A">
          <w:pPr>
            <w:spacing w:before="0" w:after="0"/>
            <w:jc w:val="right"/>
            <w:rPr>
              <w:lang w:val="en-US"/>
            </w:rPr>
          </w:pPr>
          <w:r w:rsidRPr="002F7EC5">
            <w:rPr>
              <w:lang w:val="en-US"/>
            </w:rPr>
            <w:t>Standard Operating Procedure</w:t>
          </w:r>
        </w:p>
      </w:tc>
    </w:tr>
  </w:tbl>
  <w:p w14:paraId="09B13633" w14:textId="77777777" w:rsidR="0030269A" w:rsidRPr="002F7EC5" w:rsidRDefault="0030269A" w:rsidP="0030269A">
    <w:pPr>
      <w:pStyle w:val="En-tte"/>
      <w:rPr>
        <w:lang w:val="en-US"/>
      </w:rPr>
    </w:pPr>
  </w:p>
  <w:p w14:paraId="6E78FACC" w14:textId="77777777" w:rsidR="0030269A" w:rsidRPr="0030269A" w:rsidRDefault="0030269A" w:rsidP="0030269A">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CD2E0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C28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050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581E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288C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F64C8F"/>
    <w:multiLevelType w:val="multilevel"/>
    <w:tmpl w:val="4BC2DBC0"/>
    <w:lvl w:ilvl="0">
      <w:start w:val="5"/>
      <w:numFmt w:val="decimal"/>
      <w:lvlText w:val="%1"/>
      <w:lvlJc w:val="left"/>
      <w:pPr>
        <w:ind w:hanging="720"/>
      </w:pPr>
      <w:rPr>
        <w:rFonts w:cs="Times New Roman" w:hint="default"/>
      </w:rPr>
    </w:lvl>
    <w:lvl w:ilvl="1">
      <w:start w:val="1"/>
      <w:numFmt w:val="decimal"/>
      <w:lvlText w:val="%1.%2"/>
      <w:lvlJc w:val="left"/>
      <w:pPr>
        <w:ind w:hanging="720"/>
      </w:pPr>
      <w:rPr>
        <w:rFonts w:ascii="Arial" w:eastAsia="Times New Roman" w:hAnsi="Arial" w:cs="Times New Roman" w:hint="default"/>
        <w:b/>
        <w:bCs/>
        <w:spacing w:val="1"/>
        <w:w w:val="99"/>
        <w:sz w:val="24"/>
        <w:szCs w:val="24"/>
      </w:rPr>
    </w:lvl>
    <w:lvl w:ilvl="2">
      <w:start w:val="1"/>
      <w:numFmt w:val="decimal"/>
      <w:lvlText w:val="%1.%2.%3"/>
      <w:lvlJc w:val="left"/>
      <w:pPr>
        <w:ind w:hanging="720"/>
      </w:pPr>
      <w:rPr>
        <w:rFonts w:ascii="Arial" w:eastAsia="Times New Roman" w:hAnsi="Arial" w:cs="Times New Roman" w:hint="default"/>
        <w:spacing w:val="1"/>
        <w:w w:val="99"/>
        <w:sz w:val="24"/>
        <w:szCs w:val="24"/>
      </w:rPr>
    </w:lvl>
    <w:lvl w:ilvl="3">
      <w:start w:val="1"/>
      <w:numFmt w:val="bullet"/>
      <w:lvlText w:val="•"/>
      <w:lvlJc w:val="left"/>
      <w:pPr>
        <w:ind w:hanging="360"/>
      </w:pPr>
      <w:rPr>
        <w:rFonts w:ascii="Arial" w:eastAsia="Times New Roman" w:hAnsi="Arial" w:hint="default"/>
        <w:w w:val="131"/>
        <w:sz w:val="24"/>
      </w:rPr>
    </w:lvl>
    <w:lvl w:ilvl="4">
      <w:start w:val="1"/>
      <w:numFmt w:val="bullet"/>
      <w:lvlText w:val="o"/>
      <w:lvlJc w:val="left"/>
      <w:pPr>
        <w:ind w:hanging="360"/>
      </w:pPr>
      <w:rPr>
        <w:rFonts w:ascii="Courier New" w:eastAsia="Times New Roman" w:hAnsi="Courier New" w:hint="default"/>
        <w:w w:val="99"/>
        <w:sz w:val="24"/>
      </w:rPr>
    </w:lvl>
    <w:lvl w:ilvl="5">
      <w:start w:val="1"/>
      <w:numFmt w:val="bullet"/>
      <w:lvlText w:val="▪"/>
      <w:lvlJc w:val="left"/>
      <w:pPr>
        <w:ind w:hanging="360"/>
      </w:pPr>
      <w:rPr>
        <w:rFonts w:ascii="Arial" w:eastAsia="Times New Roman" w:hAnsi="Arial" w:hint="default"/>
        <w:w w:val="164"/>
        <w:sz w:val="24"/>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1F66311D"/>
    <w:multiLevelType w:val="multilevel"/>
    <w:tmpl w:val="0826E1F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B3715A1"/>
    <w:multiLevelType w:val="multilevel"/>
    <w:tmpl w:val="040C001D"/>
    <w:numStyleLink w:val="SOPListeHyrarchise"/>
  </w:abstractNum>
  <w:abstractNum w:abstractNumId="22" w15:restartNumberingAfterBreak="0">
    <w:nsid w:val="5DD1642A"/>
    <w:multiLevelType w:val="hybridMultilevel"/>
    <w:tmpl w:val="F87C761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A301C6"/>
    <w:multiLevelType w:val="multilevel"/>
    <w:tmpl w:val="CF5CB7FC"/>
    <w:lvl w:ilvl="0">
      <w:start w:val="5"/>
      <w:numFmt w:val="decimal"/>
      <w:lvlText w:val="%1"/>
      <w:lvlJc w:val="left"/>
      <w:pPr>
        <w:ind w:hanging="720"/>
      </w:pPr>
      <w:rPr>
        <w:rFonts w:cs="Times New Roman" w:hint="default"/>
      </w:rPr>
    </w:lvl>
    <w:lvl w:ilvl="1">
      <w:start w:val="1"/>
      <w:numFmt w:val="decimal"/>
      <w:lvlText w:val="%1.%2"/>
      <w:lvlJc w:val="left"/>
      <w:pPr>
        <w:ind w:hanging="720"/>
      </w:pPr>
      <w:rPr>
        <w:rFonts w:ascii="Arial" w:eastAsia="Times New Roman" w:hAnsi="Arial" w:cs="Times New Roman" w:hint="default"/>
        <w:b/>
        <w:bCs/>
        <w:spacing w:val="1"/>
        <w:w w:val="99"/>
        <w:sz w:val="24"/>
        <w:szCs w:val="24"/>
      </w:rPr>
    </w:lvl>
    <w:lvl w:ilvl="2">
      <w:start w:val="1"/>
      <w:numFmt w:val="decimal"/>
      <w:lvlText w:val="%1.%2.%3"/>
      <w:lvlJc w:val="left"/>
      <w:pPr>
        <w:ind w:hanging="720"/>
      </w:pPr>
      <w:rPr>
        <w:rFonts w:ascii="Arial" w:eastAsia="Times New Roman" w:hAnsi="Arial" w:cs="Times New Roman" w:hint="default"/>
        <w:spacing w:val="1"/>
        <w:w w:val="99"/>
        <w:sz w:val="24"/>
        <w:szCs w:val="24"/>
      </w:rPr>
    </w:lvl>
    <w:lvl w:ilvl="3">
      <w:start w:val="1"/>
      <w:numFmt w:val="bullet"/>
      <w:lvlText w:val="•"/>
      <w:lvlJc w:val="left"/>
      <w:pPr>
        <w:ind w:hanging="360"/>
      </w:pPr>
      <w:rPr>
        <w:rFonts w:ascii="Arial" w:eastAsia="Times New Roman" w:hAnsi="Arial" w:hint="default"/>
        <w:w w:val="131"/>
        <w:sz w:val="24"/>
      </w:rPr>
    </w:lvl>
    <w:lvl w:ilvl="4">
      <w:start w:val="1"/>
      <w:numFmt w:val="bullet"/>
      <w:lvlText w:val="o"/>
      <w:lvlJc w:val="left"/>
      <w:pPr>
        <w:ind w:hanging="360"/>
      </w:pPr>
      <w:rPr>
        <w:rFonts w:ascii="Courier New" w:eastAsia="Times New Roman" w:hAnsi="Courier New" w:hint="default"/>
        <w:w w:val="99"/>
        <w:sz w:val="24"/>
      </w:rPr>
    </w:lvl>
    <w:lvl w:ilvl="5">
      <w:start w:val="1"/>
      <w:numFmt w:val="bullet"/>
      <w:lvlText w:val="▪"/>
      <w:lvlJc w:val="left"/>
      <w:pPr>
        <w:ind w:hanging="360"/>
      </w:pPr>
      <w:rPr>
        <w:rFonts w:ascii="Arial" w:eastAsia="Times New Roman" w:hAnsi="Arial" w:hint="default"/>
        <w:w w:val="164"/>
        <w:sz w:val="24"/>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num w:numId="1" w16cid:durableId="1492600873">
    <w:abstractNumId w:val="15"/>
  </w:num>
  <w:num w:numId="2" w16cid:durableId="108474488">
    <w:abstractNumId w:val="20"/>
  </w:num>
  <w:num w:numId="3" w16cid:durableId="1323002715">
    <w:abstractNumId w:val="25"/>
  </w:num>
  <w:num w:numId="4" w16cid:durableId="1549951029">
    <w:abstractNumId w:val="4"/>
  </w:num>
  <w:num w:numId="5" w16cid:durableId="1817070952">
    <w:abstractNumId w:val="5"/>
  </w:num>
  <w:num w:numId="6" w16cid:durableId="835877942">
    <w:abstractNumId w:val="6"/>
  </w:num>
  <w:num w:numId="7" w16cid:durableId="1001617847">
    <w:abstractNumId w:val="7"/>
  </w:num>
  <w:num w:numId="8" w16cid:durableId="108863456">
    <w:abstractNumId w:val="9"/>
  </w:num>
  <w:num w:numId="9" w16cid:durableId="994451200">
    <w:abstractNumId w:val="0"/>
  </w:num>
  <w:num w:numId="10" w16cid:durableId="301621677">
    <w:abstractNumId w:val="1"/>
  </w:num>
  <w:num w:numId="11" w16cid:durableId="289095886">
    <w:abstractNumId w:val="2"/>
  </w:num>
  <w:num w:numId="12" w16cid:durableId="112525600">
    <w:abstractNumId w:val="3"/>
  </w:num>
  <w:num w:numId="13" w16cid:durableId="606499637">
    <w:abstractNumId w:val="8"/>
  </w:num>
  <w:num w:numId="14" w16cid:durableId="978220357">
    <w:abstractNumId w:val="19"/>
  </w:num>
  <w:num w:numId="15" w16cid:durableId="1545143493">
    <w:abstractNumId w:val="18"/>
  </w:num>
  <w:num w:numId="16" w16cid:durableId="736560525">
    <w:abstractNumId w:val="11"/>
  </w:num>
  <w:num w:numId="17" w16cid:durableId="1153643136">
    <w:abstractNumId w:val="10"/>
  </w:num>
  <w:num w:numId="18" w16cid:durableId="1054088722">
    <w:abstractNumId w:val="23"/>
  </w:num>
  <w:num w:numId="19" w16cid:durableId="507133885">
    <w:abstractNumId w:val="16"/>
  </w:num>
  <w:num w:numId="20" w16cid:durableId="689331990">
    <w:abstractNumId w:val="13"/>
  </w:num>
  <w:num w:numId="21" w16cid:durableId="953511870">
    <w:abstractNumId w:val="12"/>
  </w:num>
  <w:num w:numId="22" w16cid:durableId="690187610">
    <w:abstractNumId w:val="21"/>
  </w:num>
  <w:num w:numId="23" w16cid:durableId="1356539194">
    <w:abstractNumId w:val="17"/>
  </w:num>
  <w:num w:numId="24" w16cid:durableId="1054045169">
    <w:abstractNumId w:val="24"/>
  </w:num>
  <w:num w:numId="25" w16cid:durableId="529343131">
    <w:abstractNumId w:val="14"/>
  </w:num>
  <w:num w:numId="26" w16cid:durableId="710156775">
    <w:abstractNumId w:val="22"/>
  </w:num>
  <w:num w:numId="27" w16cid:durableId="11209967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34"/>
    <w:rsid w:val="00012A3D"/>
    <w:rsid w:val="00021C01"/>
    <w:rsid w:val="0002610A"/>
    <w:rsid w:val="00051146"/>
    <w:rsid w:val="000731F7"/>
    <w:rsid w:val="000B3375"/>
    <w:rsid w:val="000C4BDB"/>
    <w:rsid w:val="00100A98"/>
    <w:rsid w:val="00122CD8"/>
    <w:rsid w:val="001437F2"/>
    <w:rsid w:val="00226DCF"/>
    <w:rsid w:val="0027528F"/>
    <w:rsid w:val="00283978"/>
    <w:rsid w:val="0028581A"/>
    <w:rsid w:val="002B5BA5"/>
    <w:rsid w:val="002B5EA6"/>
    <w:rsid w:val="002E18ED"/>
    <w:rsid w:val="002E750D"/>
    <w:rsid w:val="0030269A"/>
    <w:rsid w:val="00302BF0"/>
    <w:rsid w:val="0032222C"/>
    <w:rsid w:val="003815F4"/>
    <w:rsid w:val="00381E3D"/>
    <w:rsid w:val="00386EA4"/>
    <w:rsid w:val="00407B78"/>
    <w:rsid w:val="004272D3"/>
    <w:rsid w:val="004374F7"/>
    <w:rsid w:val="00444D39"/>
    <w:rsid w:val="00445E57"/>
    <w:rsid w:val="004842FE"/>
    <w:rsid w:val="004973D3"/>
    <w:rsid w:val="004A7487"/>
    <w:rsid w:val="004C70A8"/>
    <w:rsid w:val="004E523A"/>
    <w:rsid w:val="004F3ECA"/>
    <w:rsid w:val="00507CE8"/>
    <w:rsid w:val="005330A8"/>
    <w:rsid w:val="00542A47"/>
    <w:rsid w:val="005518D3"/>
    <w:rsid w:val="0059613B"/>
    <w:rsid w:val="005A11F5"/>
    <w:rsid w:val="005A7EF5"/>
    <w:rsid w:val="00601C6C"/>
    <w:rsid w:val="00620DDC"/>
    <w:rsid w:val="006472D3"/>
    <w:rsid w:val="00660163"/>
    <w:rsid w:val="006679F4"/>
    <w:rsid w:val="006751E1"/>
    <w:rsid w:val="0069433E"/>
    <w:rsid w:val="006A4376"/>
    <w:rsid w:val="006F6427"/>
    <w:rsid w:val="00753239"/>
    <w:rsid w:val="00756C58"/>
    <w:rsid w:val="007600E9"/>
    <w:rsid w:val="0079307E"/>
    <w:rsid w:val="007A2E5D"/>
    <w:rsid w:val="007B33C2"/>
    <w:rsid w:val="00802F4C"/>
    <w:rsid w:val="00861AE8"/>
    <w:rsid w:val="008729A6"/>
    <w:rsid w:val="008A587F"/>
    <w:rsid w:val="008A713C"/>
    <w:rsid w:val="008B0C01"/>
    <w:rsid w:val="008B5C55"/>
    <w:rsid w:val="008E5297"/>
    <w:rsid w:val="008F4352"/>
    <w:rsid w:val="008F4B93"/>
    <w:rsid w:val="00931FEA"/>
    <w:rsid w:val="009460DB"/>
    <w:rsid w:val="009754E0"/>
    <w:rsid w:val="00986A54"/>
    <w:rsid w:val="009D53FD"/>
    <w:rsid w:val="00A0020D"/>
    <w:rsid w:val="00A2656F"/>
    <w:rsid w:val="00A26CA7"/>
    <w:rsid w:val="00A313CE"/>
    <w:rsid w:val="00A967C9"/>
    <w:rsid w:val="00AC32A5"/>
    <w:rsid w:val="00B050AF"/>
    <w:rsid w:val="00B2714C"/>
    <w:rsid w:val="00B43B4B"/>
    <w:rsid w:val="00B51CCF"/>
    <w:rsid w:val="00B66BD6"/>
    <w:rsid w:val="00B66EA8"/>
    <w:rsid w:val="00BD695C"/>
    <w:rsid w:val="00C36F0E"/>
    <w:rsid w:val="00CC60C0"/>
    <w:rsid w:val="00CE63B7"/>
    <w:rsid w:val="00D07034"/>
    <w:rsid w:val="00D14E15"/>
    <w:rsid w:val="00D21D91"/>
    <w:rsid w:val="00D52666"/>
    <w:rsid w:val="00D53438"/>
    <w:rsid w:val="00D85D68"/>
    <w:rsid w:val="00DC2BA3"/>
    <w:rsid w:val="00E010DE"/>
    <w:rsid w:val="00E15322"/>
    <w:rsid w:val="00E22B47"/>
    <w:rsid w:val="00E35E4E"/>
    <w:rsid w:val="00E40D26"/>
    <w:rsid w:val="00E428CC"/>
    <w:rsid w:val="00E47FF5"/>
    <w:rsid w:val="00E83DF3"/>
    <w:rsid w:val="00E92206"/>
    <w:rsid w:val="00EC101E"/>
    <w:rsid w:val="00EC34C7"/>
    <w:rsid w:val="00EC6FBF"/>
    <w:rsid w:val="00EF0BB6"/>
    <w:rsid w:val="00F20AB9"/>
    <w:rsid w:val="00F443B2"/>
    <w:rsid w:val="00F614E1"/>
    <w:rsid w:val="00F966CF"/>
    <w:rsid w:val="00F978AC"/>
    <w:rsid w:val="00FA05AA"/>
    <w:rsid w:val="00FC636C"/>
    <w:rsid w:val="00FD5A2D"/>
    <w:rsid w:val="22F065B8"/>
    <w:rsid w:val="58B8826E"/>
    <w:rsid w:val="790FA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DC6F"/>
  <w14:defaultImageDpi w14:val="32767"/>
  <w15:chartTrackingRefBased/>
  <w15:docId w15:val="{92B700F1-8FCB-490E-9151-96A607225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29A6"/>
    <w:pPr>
      <w:spacing w:before="240" w:after="240"/>
      <w:jc w:val="both"/>
    </w:pPr>
    <w:rPr>
      <w:sz w:val="22"/>
      <w:szCs w:val="22"/>
      <w:lang w:val="en-CA"/>
    </w:rPr>
  </w:style>
  <w:style w:type="paragraph" w:styleId="Titre1">
    <w:name w:val="heading 1"/>
    <w:basedOn w:val="Normal"/>
    <w:next w:val="Normal"/>
    <w:link w:val="Titre1Car"/>
    <w:qFormat/>
    <w:rsid w:val="008729A6"/>
    <w:pPr>
      <w:keepNext/>
      <w:widowControl w:val="0"/>
      <w:numPr>
        <w:numId w:val="1"/>
      </w:numPr>
      <w:ind w:left="1138" w:hanging="1138"/>
      <w:outlineLvl w:val="0"/>
    </w:pPr>
    <w:rPr>
      <w:rFonts w:eastAsiaTheme="majorEastAsia" w:cs="Calibri (Corps)"/>
      <w:b/>
      <w:caps/>
    </w:rPr>
  </w:style>
  <w:style w:type="paragraph" w:styleId="Titre2">
    <w:name w:val="heading 2"/>
    <w:basedOn w:val="Normal"/>
    <w:next w:val="Normal"/>
    <w:link w:val="Titre2Car"/>
    <w:unhideWhenUsed/>
    <w:qFormat/>
    <w:rsid w:val="00FC636C"/>
    <w:pPr>
      <w:widowControl w:val="0"/>
      <w:numPr>
        <w:ilvl w:val="1"/>
        <w:numId w:val="1"/>
      </w:numPr>
      <w:outlineLvl w:val="1"/>
    </w:pPr>
    <w:rPr>
      <w:rFonts w:eastAsiaTheme="majorEastAsia" w:cstheme="minorHAnsi"/>
      <w:b/>
    </w:rPr>
  </w:style>
  <w:style w:type="paragraph" w:styleId="Titre3">
    <w:name w:val="heading 3"/>
    <w:basedOn w:val="Normal"/>
    <w:next w:val="Normal"/>
    <w:link w:val="Titre3Car"/>
    <w:unhideWhenUsed/>
    <w:qFormat/>
    <w:rsid w:val="00FC636C"/>
    <w:pPr>
      <w:widowControl w:val="0"/>
      <w:numPr>
        <w:ilvl w:val="2"/>
        <w:numId w:val="1"/>
      </w:numPr>
      <w:tabs>
        <w:tab w:val="left" w:pos="1134"/>
      </w:tabs>
      <w:ind w:left="1134" w:hanging="1134"/>
      <w:outlineLvl w:val="2"/>
    </w:pPr>
    <w:rPr>
      <w:rFonts w:eastAsiaTheme="majorEastAsia" w:cstheme="minorHAnsi"/>
    </w:rPr>
  </w:style>
  <w:style w:type="paragraph" w:styleId="Titre4">
    <w:name w:val="heading 4"/>
    <w:basedOn w:val="Normal"/>
    <w:next w:val="Normal"/>
    <w:link w:val="Titre4Car"/>
    <w:uiPriority w:val="9"/>
    <w:unhideWhenUsed/>
    <w:qFormat/>
    <w:rsid w:val="00FC636C"/>
    <w:pPr>
      <w:widowControl w:val="0"/>
      <w:numPr>
        <w:ilvl w:val="3"/>
        <w:numId w:val="1"/>
      </w:numPr>
      <w:tabs>
        <w:tab w:val="left" w:pos="1134"/>
      </w:tabs>
      <w:ind w:left="1134" w:hanging="1134"/>
      <w:outlineLvl w:val="3"/>
    </w:pPr>
    <w:rPr>
      <w:rFonts w:eastAsiaTheme="majorEastAsia" w:cstheme="minorHAnsi"/>
      <w:iCs/>
    </w:rPr>
  </w:style>
  <w:style w:type="paragraph" w:styleId="Titre5">
    <w:name w:val="heading 5"/>
    <w:basedOn w:val="Normal"/>
    <w:next w:val="Normal"/>
    <w:link w:val="Titre5Car"/>
    <w:uiPriority w:val="9"/>
    <w:unhideWhenUsed/>
    <w:qFormat/>
    <w:rsid w:val="00FC636C"/>
    <w:pPr>
      <w:widowControl w:val="0"/>
      <w:numPr>
        <w:ilvl w:val="4"/>
        <w:numId w:val="1"/>
      </w:numPr>
      <w:tabs>
        <w:tab w:val="left" w:pos="1134"/>
      </w:tabs>
      <w:ind w:left="1134" w:hanging="1134"/>
      <w:outlineLvl w:val="4"/>
    </w:pPr>
    <w:rPr>
      <w:rFonts w:eastAsiaTheme="majorEastAsia" w:cstheme="minorHAnsi"/>
    </w:rPr>
  </w:style>
  <w:style w:type="paragraph" w:styleId="Titre6">
    <w:name w:val="heading 6"/>
    <w:basedOn w:val="Normal"/>
    <w:next w:val="Normal"/>
    <w:link w:val="Titre6Car"/>
    <w:uiPriority w:val="9"/>
    <w:unhideWhenUsed/>
    <w:qFormat/>
    <w:rsid w:val="00FC636C"/>
    <w:pPr>
      <w:widowControl w:val="0"/>
      <w:numPr>
        <w:ilvl w:val="5"/>
        <w:numId w:val="1"/>
      </w:numPr>
      <w:tabs>
        <w:tab w:val="left" w:pos="1134"/>
      </w:tabs>
      <w:ind w:left="1134" w:hanging="1134"/>
      <w:outlineLvl w:val="5"/>
    </w:pPr>
    <w:rPr>
      <w:rFonts w:eastAsiaTheme="majorEastAsia" w:cstheme="minorHAnsi"/>
    </w:rPr>
  </w:style>
  <w:style w:type="paragraph" w:styleId="Titre7">
    <w:name w:val="heading 7"/>
    <w:basedOn w:val="Normal"/>
    <w:next w:val="Normal"/>
    <w:link w:val="Titre7Car"/>
    <w:uiPriority w:val="9"/>
    <w:unhideWhenUsed/>
    <w:qFormat/>
    <w:rsid w:val="00FC636C"/>
    <w:pPr>
      <w:widowControl w:val="0"/>
      <w:numPr>
        <w:ilvl w:val="6"/>
        <w:numId w:val="1"/>
      </w:numPr>
      <w:tabs>
        <w:tab w:val="left" w:pos="1276"/>
      </w:tabs>
      <w:ind w:left="1276" w:hanging="1276"/>
      <w:outlineLvl w:val="6"/>
    </w:pPr>
    <w:rPr>
      <w:rFonts w:eastAsiaTheme="majorEastAsia" w:cstheme="minorHAnsi"/>
      <w:iCs/>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9A6"/>
    <w:rPr>
      <w:rFonts w:eastAsiaTheme="majorEastAsia" w:cs="Calibri (Corps)"/>
      <w:b/>
      <w:caps/>
      <w:sz w:val="22"/>
      <w:szCs w:val="22"/>
      <w:lang w:val="en-CA"/>
    </w:rPr>
  </w:style>
  <w:style w:type="character" w:customStyle="1" w:styleId="Titre2Car">
    <w:name w:val="Titre 2 Car"/>
    <w:basedOn w:val="Policepardfaut"/>
    <w:link w:val="Titre2"/>
    <w:uiPriority w:val="9"/>
    <w:rsid w:val="00FC636C"/>
    <w:rPr>
      <w:rFonts w:eastAsiaTheme="majorEastAsia" w:cstheme="minorHAnsi"/>
      <w:b/>
      <w:sz w:val="22"/>
      <w:szCs w:val="22"/>
      <w:lang w:val="en-CA"/>
    </w:rPr>
  </w:style>
  <w:style w:type="character" w:customStyle="1" w:styleId="Titre3Car">
    <w:name w:val="Titre 3 Car"/>
    <w:basedOn w:val="Policepardfaut"/>
    <w:link w:val="Titre3"/>
    <w:uiPriority w:val="9"/>
    <w:rsid w:val="00FC636C"/>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30269A"/>
    <w:pPr>
      <w:tabs>
        <w:tab w:val="left" w:pos="567"/>
        <w:tab w:val="right" w:leader="dot" w:pos="10065"/>
      </w:tabs>
      <w:spacing w:before="0" w:after="0"/>
      <w:ind w:left="567" w:hanging="567"/>
    </w:pPr>
    <w:rPr>
      <w:rFonts w:eastAsiaTheme="minorEastAsia"/>
      <w:noProof/>
      <w:sz w:val="24"/>
      <w:szCs w:val="24"/>
      <w:lang w:eastAsia="fr-FR"/>
    </w:rPr>
  </w:style>
  <w:style w:type="paragraph" w:styleId="TM2">
    <w:name w:val="toc 2"/>
    <w:basedOn w:val="Normal"/>
    <w:next w:val="Normal"/>
    <w:autoRedefine/>
    <w:uiPriority w:val="39"/>
    <w:unhideWhenUsed/>
    <w:rsid w:val="008B0C01"/>
    <w:pPr>
      <w:tabs>
        <w:tab w:val="left" w:pos="1134"/>
        <w:tab w:val="right" w:leader="dot" w:pos="10065"/>
      </w:tabs>
      <w:spacing w:before="0" w:after="0"/>
      <w:ind w:left="1134" w:hanging="567"/>
    </w:pPr>
    <w:rPr>
      <w:rFonts w:eastAsiaTheme="minorEastAsia"/>
      <w:noProof/>
      <w:sz w:val="24"/>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756C58"/>
    <w:rPr>
      <w:sz w:val="16"/>
      <w:szCs w:val="16"/>
    </w:rPr>
  </w:style>
  <w:style w:type="paragraph" w:styleId="Commentaire">
    <w:name w:val="annotation text"/>
    <w:basedOn w:val="Normal"/>
    <w:link w:val="CommentaireCar"/>
    <w:unhideWhenUsed/>
    <w:rsid w:val="00756C58"/>
    <w:rPr>
      <w:sz w:val="20"/>
      <w:szCs w:val="20"/>
    </w:rPr>
  </w:style>
  <w:style w:type="character" w:customStyle="1" w:styleId="CommentaireCar">
    <w:name w:val="Commentaire Car"/>
    <w:basedOn w:val="Policepardfaut"/>
    <w:link w:val="Commentaire"/>
    <w:uiPriority w:val="99"/>
    <w:rsid w:val="00756C58"/>
    <w:rPr>
      <w:sz w:val="20"/>
      <w:szCs w:val="20"/>
      <w:lang w:val="fr-CA"/>
    </w:rPr>
  </w:style>
  <w:style w:type="paragraph" w:styleId="Objetducommentaire">
    <w:name w:val="annotation subject"/>
    <w:basedOn w:val="Commentaire"/>
    <w:next w:val="Commentaire"/>
    <w:link w:val="ObjetducommentaireCar"/>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386EA4"/>
    <w:pPr>
      <w:numPr>
        <w:numId w:val="13"/>
      </w:numPr>
      <w:contextualSpacing/>
    </w:pPr>
  </w:style>
  <w:style w:type="paragraph" w:styleId="Paragraphedeliste">
    <w:name w:val="List Paragraph"/>
    <w:basedOn w:val="Normal"/>
    <w:uiPriority w:val="34"/>
    <w:qFormat/>
    <w:rsid w:val="00542A47"/>
    <w:pPr>
      <w:numPr>
        <w:numId w:val="22"/>
      </w:numPr>
      <w:ind w:left="567" w:hanging="567"/>
      <w:contextualSpacing/>
    </w:pPr>
  </w:style>
  <w:style w:type="paragraph" w:customStyle="1" w:styleId="SOPBulletB">
    <w:name w:val="SOP Bullet B"/>
    <w:basedOn w:val="Normal"/>
    <w:qFormat/>
    <w:rsid w:val="0059613B"/>
    <w:pPr>
      <w:numPr>
        <w:numId w:val="14"/>
      </w:numPr>
      <w:spacing w:before="60" w:after="60"/>
      <w:ind w:left="1134" w:hanging="567"/>
    </w:pPr>
    <w:rPr>
      <w:szCs w:val="24"/>
    </w:rPr>
  </w:style>
  <w:style w:type="paragraph" w:customStyle="1" w:styleId="SOPBulletC">
    <w:name w:val="SOP Bullet C"/>
    <w:basedOn w:val="Normal"/>
    <w:qFormat/>
    <w:rsid w:val="0059613B"/>
    <w:pPr>
      <w:numPr>
        <w:numId w:val="15"/>
      </w:numPr>
      <w:spacing w:before="60" w:after="60"/>
      <w:ind w:left="1701" w:hanging="567"/>
    </w:pPr>
    <w:rPr>
      <w:szCs w:val="24"/>
    </w:rPr>
  </w:style>
  <w:style w:type="paragraph" w:customStyle="1" w:styleId="SOPBulletD">
    <w:name w:val="SOP Bullet D"/>
    <w:basedOn w:val="Normal"/>
    <w:qFormat/>
    <w:rsid w:val="0059613B"/>
    <w:pPr>
      <w:numPr>
        <w:numId w:val="16"/>
      </w:numPr>
      <w:spacing w:before="60" w:after="60"/>
      <w:ind w:left="2268" w:hanging="567"/>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59613B"/>
    <w:pPr>
      <w:numPr>
        <w:numId w:val="18"/>
      </w:numPr>
      <w:spacing w:before="60" w:after="60"/>
      <w:ind w:left="567" w:hanging="567"/>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nhideWhenUsed/>
    <w:rsid w:val="005A11F5"/>
    <w:pPr>
      <w:tabs>
        <w:tab w:val="left" w:pos="284"/>
      </w:tabs>
      <w:spacing w:before="0" w:after="0"/>
      <w:ind w:left="284" w:hanging="284"/>
    </w:pPr>
    <w:rPr>
      <w:rFonts w:cs="Times New Roman (Corps CS)"/>
      <w:sz w:val="20"/>
      <w:szCs w:val="20"/>
    </w:rPr>
  </w:style>
  <w:style w:type="character" w:customStyle="1" w:styleId="NotedebasdepageCar">
    <w:name w:val="Note de bas de page Car"/>
    <w:basedOn w:val="Policepardfaut"/>
    <w:link w:val="Notedebasdepage"/>
    <w:rsid w:val="005A11F5"/>
    <w:rPr>
      <w:rFonts w:cs="Times New Roman (Corps CS)"/>
      <w:sz w:val="20"/>
      <w:szCs w:val="20"/>
      <w:lang w:val="fr-CA"/>
    </w:rPr>
  </w:style>
  <w:style w:type="character" w:styleId="Appelnotedebasdep">
    <w:name w:val="footnote reference"/>
    <w:basedOn w:val="Policepardfaut"/>
    <w:semiHidden/>
    <w:unhideWhenUsed/>
    <w:rsid w:val="005A11F5"/>
    <w:rPr>
      <w:vertAlign w:val="superscript"/>
    </w:rPr>
  </w:style>
  <w:style w:type="paragraph" w:styleId="Rvision">
    <w:name w:val="Revision"/>
    <w:hidden/>
    <w:uiPriority w:val="99"/>
    <w:semiHidden/>
    <w:rsid w:val="00EC34C7"/>
    <w:rPr>
      <w:sz w:val="22"/>
      <w:szCs w:val="22"/>
      <w:lang w:val="fr-CA"/>
    </w:rPr>
  </w:style>
  <w:style w:type="paragraph" w:styleId="Corpsdetexte">
    <w:name w:val="Body Text"/>
    <w:basedOn w:val="Normal"/>
    <w:link w:val="CorpsdetexteCar"/>
    <w:rsid w:val="0069433E"/>
    <w:pPr>
      <w:widowControl w:val="0"/>
      <w:spacing w:before="0" w:after="0"/>
      <w:ind w:left="140"/>
      <w:jc w:val="left"/>
    </w:pPr>
    <w:rPr>
      <w:rFonts w:ascii="Arial" w:eastAsia="Times New Roman" w:hAnsi="Arial" w:cs="Times New Roman"/>
      <w:sz w:val="24"/>
      <w:szCs w:val="24"/>
      <w:lang w:val="en-US"/>
    </w:rPr>
  </w:style>
  <w:style w:type="character" w:customStyle="1" w:styleId="CorpsdetexteCar">
    <w:name w:val="Corps de texte Car"/>
    <w:basedOn w:val="Policepardfaut"/>
    <w:link w:val="Corpsdetexte"/>
    <w:rsid w:val="0069433E"/>
    <w:rPr>
      <w:rFonts w:ascii="Arial" w:eastAsia="Times New Roman" w:hAnsi="Arial" w:cs="Times New Roman"/>
      <w:lang w:val="en-US"/>
    </w:rPr>
  </w:style>
  <w:style w:type="paragraph" w:customStyle="1" w:styleId="Paragraphedeliste1">
    <w:name w:val="Paragraphe de liste1"/>
    <w:basedOn w:val="Normal"/>
    <w:rsid w:val="0069433E"/>
    <w:pPr>
      <w:widowControl w:val="0"/>
      <w:spacing w:before="0" w:after="0"/>
      <w:jc w:val="left"/>
    </w:pPr>
    <w:rPr>
      <w:rFonts w:ascii="Calibri" w:eastAsia="Times New Roman" w:hAnsi="Calibri" w:cs="Times New Roman"/>
      <w:lang w:val="en-US"/>
    </w:rPr>
  </w:style>
  <w:style w:type="paragraph" w:customStyle="1" w:styleId="TableParagraph">
    <w:name w:val="Table Paragraph"/>
    <w:basedOn w:val="Normal"/>
    <w:rsid w:val="0069433E"/>
    <w:pPr>
      <w:widowControl w:val="0"/>
      <w:spacing w:before="0" w:after="0"/>
      <w:jc w:val="left"/>
    </w:pPr>
    <w:rPr>
      <w:rFonts w:ascii="Calibri" w:eastAsia="Times New Roman" w:hAnsi="Calibri" w:cs="Times New Roman"/>
      <w:lang w:val="en-US"/>
    </w:rPr>
  </w:style>
  <w:style w:type="character" w:styleId="Numrodepage">
    <w:name w:val="page number"/>
    <w:basedOn w:val="Policepardfaut"/>
    <w:rsid w:val="0069433E"/>
  </w:style>
  <w:style w:type="character" w:customStyle="1" w:styleId="tlid-translationtranslation">
    <w:name w:val="tlid-translation translation"/>
    <w:basedOn w:val="Policepardfaut"/>
    <w:rsid w:val="00694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Documents\Mod&#232;les%20Office%20personnalis&#233;s\Canevas_SOP_EN_2019-04-01_clea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27205-C8AC-46AC-8C02-A9F6503FC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A03E1-5EE2-45B1-8A34-643069543AD6}">
  <ds:schemaRefs>
    <ds:schemaRef ds:uri="http://schemas.openxmlformats.org/officeDocument/2006/bibliography"/>
  </ds:schemaRefs>
</ds:datastoreItem>
</file>

<file path=customXml/itemProps3.xml><?xml version="1.0" encoding="utf-8"?>
<ds:datastoreItem xmlns:ds="http://schemas.openxmlformats.org/officeDocument/2006/customXml" ds:itemID="{69BDEB81-BABC-4F75-A05F-F74B1487A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Canevas_SOP_EN_2019-04-01_clean</Template>
  <TotalTime>17</TotalTime>
  <Pages>6</Pages>
  <Words>1566</Words>
  <Characters>8617</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Fleurent</dc:creator>
  <cp:keywords/>
  <dc:description/>
  <cp:lastModifiedBy>Marilyse Piche</cp:lastModifiedBy>
  <cp:revision>8</cp:revision>
  <cp:lastPrinted>2023-10-13T17:52:00Z</cp:lastPrinted>
  <dcterms:created xsi:type="dcterms:W3CDTF">2023-11-20T15:42:00Z</dcterms:created>
  <dcterms:modified xsi:type="dcterms:W3CDTF">2023-11-21T21:32:00Z</dcterms:modified>
</cp:coreProperties>
</file>