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5924" w14:textId="77777777" w:rsidR="0030269A" w:rsidRPr="0030386E" w:rsidRDefault="0030269A" w:rsidP="006C1D06">
      <w:pPr>
        <w:spacing w:before="0" w:after="0"/>
      </w:pPr>
    </w:p>
    <w:tbl>
      <w:tblPr>
        <w:tblStyle w:val="Grilledutableau"/>
        <w:tblW w:w="0" w:type="auto"/>
        <w:tblLook w:val="04A0" w:firstRow="1" w:lastRow="0" w:firstColumn="1" w:lastColumn="0" w:noHBand="0" w:noVBand="1"/>
      </w:tblPr>
      <w:tblGrid>
        <w:gridCol w:w="3325"/>
        <w:gridCol w:w="6745"/>
      </w:tblGrid>
      <w:tr w:rsidR="0030269A" w:rsidRPr="0030386E" w14:paraId="7A4CCE81" w14:textId="77777777" w:rsidTr="00012A3D">
        <w:tc>
          <w:tcPr>
            <w:tcW w:w="3325" w:type="dxa"/>
          </w:tcPr>
          <w:p w14:paraId="11FD8011" w14:textId="77777777" w:rsidR="0030269A" w:rsidRPr="0030386E" w:rsidRDefault="0030269A" w:rsidP="006C1D06">
            <w:pPr>
              <w:spacing w:before="60" w:after="60"/>
              <w:rPr>
                <w:b/>
              </w:rPr>
            </w:pPr>
            <w:r w:rsidRPr="0030386E">
              <w:rPr>
                <w:b/>
              </w:rPr>
              <w:t>Title</w:t>
            </w:r>
          </w:p>
        </w:tc>
        <w:tc>
          <w:tcPr>
            <w:tcW w:w="6745" w:type="dxa"/>
          </w:tcPr>
          <w:p w14:paraId="4526BDD1" w14:textId="53630ED0" w:rsidR="0030269A" w:rsidRPr="0030386E" w:rsidRDefault="004E33B5" w:rsidP="006C1D06">
            <w:pPr>
              <w:spacing w:before="60" w:after="60"/>
            </w:pPr>
            <w:r w:rsidRPr="0030386E">
              <w:t>Duties of REB Members</w:t>
            </w:r>
          </w:p>
        </w:tc>
      </w:tr>
      <w:tr w:rsidR="0030269A" w:rsidRPr="0030386E" w14:paraId="42EB25A1" w14:textId="77777777" w:rsidTr="00012A3D">
        <w:tc>
          <w:tcPr>
            <w:tcW w:w="3325" w:type="dxa"/>
          </w:tcPr>
          <w:p w14:paraId="6F9B2FA2" w14:textId="77777777" w:rsidR="0030269A" w:rsidRPr="0030386E" w:rsidRDefault="58B8826E" w:rsidP="006C1D06">
            <w:pPr>
              <w:spacing w:before="60" w:after="60"/>
              <w:rPr>
                <w:b/>
                <w:bCs/>
              </w:rPr>
            </w:pPr>
            <w:r w:rsidRPr="0030386E">
              <w:rPr>
                <w:b/>
                <w:bCs/>
              </w:rPr>
              <w:t>SOP Code</w:t>
            </w:r>
          </w:p>
        </w:tc>
        <w:tc>
          <w:tcPr>
            <w:tcW w:w="6745" w:type="dxa"/>
          </w:tcPr>
          <w:p w14:paraId="2F7F54F6" w14:textId="40CCA1FB" w:rsidR="0030269A" w:rsidRPr="0030386E" w:rsidRDefault="58B8826E" w:rsidP="006C1D06">
            <w:pPr>
              <w:spacing w:before="60" w:after="60"/>
            </w:pPr>
            <w:r w:rsidRPr="0030386E">
              <w:t>REB</w:t>
            </w:r>
            <w:r w:rsidR="00660163" w:rsidRPr="0030386E">
              <w:t>-</w:t>
            </w:r>
            <w:r w:rsidRPr="0030386E">
              <w:t>SOP</w:t>
            </w:r>
            <w:r w:rsidR="00012A3D" w:rsidRPr="0030386E">
              <w:t xml:space="preserve"> </w:t>
            </w:r>
            <w:r w:rsidR="00097218" w:rsidRPr="0030386E">
              <w:t>203</w:t>
            </w:r>
            <w:r w:rsidR="002E4385" w:rsidRPr="0030386E">
              <w:t>-002</w:t>
            </w:r>
          </w:p>
        </w:tc>
      </w:tr>
      <w:tr w:rsidR="0030269A" w:rsidRPr="0030386E" w14:paraId="7DDB913C" w14:textId="77777777" w:rsidTr="00012A3D">
        <w:tc>
          <w:tcPr>
            <w:tcW w:w="3325" w:type="dxa"/>
          </w:tcPr>
          <w:p w14:paraId="520F572C" w14:textId="77777777" w:rsidR="0030269A" w:rsidRPr="0030386E" w:rsidRDefault="0030269A" w:rsidP="006C1D06">
            <w:pPr>
              <w:spacing w:before="60" w:after="60"/>
              <w:rPr>
                <w:b/>
              </w:rPr>
            </w:pPr>
            <w:r w:rsidRPr="0030386E">
              <w:rPr>
                <w:b/>
              </w:rPr>
              <w:t>N2/CAREB SOP CODE</w:t>
            </w:r>
          </w:p>
        </w:tc>
        <w:tc>
          <w:tcPr>
            <w:tcW w:w="6745" w:type="dxa"/>
          </w:tcPr>
          <w:p w14:paraId="319009FA" w14:textId="695B07C0" w:rsidR="0030269A" w:rsidRPr="0030386E" w:rsidRDefault="0030269A" w:rsidP="006C1D06">
            <w:pPr>
              <w:spacing w:before="60" w:after="60"/>
            </w:pPr>
            <w:r w:rsidRPr="0030386E">
              <w:t>SOP</w:t>
            </w:r>
            <w:r w:rsidR="005A11F5" w:rsidRPr="0030386E">
              <w:t xml:space="preserve"> </w:t>
            </w:r>
            <w:r w:rsidR="00097218" w:rsidRPr="0030386E">
              <w:t>203</w:t>
            </w:r>
            <w:r w:rsidR="002E4385" w:rsidRPr="0030386E">
              <w:t>-003</w:t>
            </w:r>
          </w:p>
        </w:tc>
      </w:tr>
      <w:tr w:rsidR="0030269A" w:rsidRPr="0030386E" w14:paraId="5C1A93E2" w14:textId="77777777" w:rsidTr="00012A3D">
        <w:tc>
          <w:tcPr>
            <w:tcW w:w="3325" w:type="dxa"/>
          </w:tcPr>
          <w:p w14:paraId="6B5FADB2" w14:textId="77777777" w:rsidR="0030269A" w:rsidRPr="0030386E" w:rsidRDefault="0030269A" w:rsidP="006C1D06">
            <w:pPr>
              <w:spacing w:before="60" w:after="60"/>
              <w:rPr>
                <w:b/>
              </w:rPr>
            </w:pPr>
            <w:r w:rsidRPr="0030386E">
              <w:rPr>
                <w:b/>
              </w:rPr>
              <w:t>Effective Date</w:t>
            </w:r>
          </w:p>
        </w:tc>
        <w:tc>
          <w:tcPr>
            <w:tcW w:w="6745" w:type="dxa"/>
          </w:tcPr>
          <w:p w14:paraId="50976C17" w14:textId="77777777" w:rsidR="0030269A" w:rsidRPr="0030386E" w:rsidRDefault="0030269A" w:rsidP="006C1D06">
            <w:pPr>
              <w:spacing w:before="60" w:after="60"/>
            </w:pPr>
            <w:r w:rsidRPr="0030386E">
              <w:rPr>
                <w:highlight w:val="yellow"/>
              </w:rPr>
              <w:t>YYYY-MM-DD</w:t>
            </w:r>
          </w:p>
        </w:tc>
      </w:tr>
    </w:tbl>
    <w:p w14:paraId="02A823AA" w14:textId="77777777" w:rsidR="0030269A" w:rsidRPr="0030386E" w:rsidRDefault="0030269A" w:rsidP="006C1D06"/>
    <w:tbl>
      <w:tblPr>
        <w:tblStyle w:val="Grilledutableau"/>
        <w:tblW w:w="0" w:type="auto"/>
        <w:tblLook w:val="04A0" w:firstRow="1" w:lastRow="0" w:firstColumn="1" w:lastColumn="0" w:noHBand="0" w:noVBand="1"/>
      </w:tblPr>
      <w:tblGrid>
        <w:gridCol w:w="3325"/>
        <w:gridCol w:w="4467"/>
        <w:gridCol w:w="2206"/>
      </w:tblGrid>
      <w:tr w:rsidR="0030269A" w:rsidRPr="0030386E" w14:paraId="03AFA523" w14:textId="77777777" w:rsidTr="00012A3D">
        <w:tc>
          <w:tcPr>
            <w:tcW w:w="3325" w:type="dxa"/>
            <w:shd w:val="clear" w:color="auto" w:fill="D9D9D9" w:themeFill="background1" w:themeFillShade="D9"/>
          </w:tcPr>
          <w:p w14:paraId="076CED14" w14:textId="77777777" w:rsidR="0030269A" w:rsidRPr="0030386E" w:rsidRDefault="0030269A" w:rsidP="006C1D06">
            <w:pPr>
              <w:spacing w:before="60" w:after="60"/>
              <w:jc w:val="center"/>
              <w:rPr>
                <w:b/>
              </w:rPr>
            </w:pPr>
            <w:r w:rsidRPr="0030386E">
              <w:rPr>
                <w:b/>
              </w:rPr>
              <w:t>Status</w:t>
            </w:r>
          </w:p>
        </w:tc>
        <w:tc>
          <w:tcPr>
            <w:tcW w:w="4467" w:type="dxa"/>
            <w:shd w:val="clear" w:color="auto" w:fill="D9D9D9" w:themeFill="background1" w:themeFillShade="D9"/>
          </w:tcPr>
          <w:p w14:paraId="78CFD435" w14:textId="77777777" w:rsidR="0030269A" w:rsidRPr="0030386E" w:rsidRDefault="0030269A" w:rsidP="006C1D06">
            <w:pPr>
              <w:spacing w:before="60" w:after="60"/>
              <w:jc w:val="center"/>
              <w:rPr>
                <w:b/>
              </w:rPr>
            </w:pPr>
            <w:r w:rsidRPr="0030386E">
              <w:rPr>
                <w:b/>
              </w:rPr>
              <w:t>Name and Title</w:t>
            </w:r>
          </w:p>
        </w:tc>
        <w:tc>
          <w:tcPr>
            <w:tcW w:w="2206" w:type="dxa"/>
            <w:shd w:val="clear" w:color="auto" w:fill="D9D9D9" w:themeFill="background1" w:themeFillShade="D9"/>
          </w:tcPr>
          <w:p w14:paraId="580CF213" w14:textId="77777777" w:rsidR="0030269A" w:rsidRPr="0030386E" w:rsidRDefault="0030269A" w:rsidP="006C1D06">
            <w:pPr>
              <w:spacing w:before="60" w:after="60"/>
              <w:jc w:val="center"/>
              <w:rPr>
                <w:b/>
              </w:rPr>
            </w:pPr>
            <w:r w:rsidRPr="0030386E">
              <w:rPr>
                <w:b/>
              </w:rPr>
              <w:t>Date</w:t>
            </w:r>
          </w:p>
        </w:tc>
      </w:tr>
      <w:tr w:rsidR="0030269A" w:rsidRPr="0030386E" w14:paraId="77E1F124" w14:textId="77777777" w:rsidTr="00012A3D">
        <w:tc>
          <w:tcPr>
            <w:tcW w:w="3325" w:type="dxa"/>
          </w:tcPr>
          <w:p w14:paraId="045EE837" w14:textId="77777777" w:rsidR="0030269A" w:rsidRPr="0030386E" w:rsidRDefault="00012A3D" w:rsidP="006C1D06">
            <w:pPr>
              <w:spacing w:before="60" w:after="60"/>
              <w:jc w:val="left"/>
              <w:rPr>
                <w:b/>
                <w:i/>
                <w:highlight w:val="yellow"/>
              </w:rPr>
            </w:pPr>
            <w:r w:rsidRPr="0030386E">
              <w:rPr>
                <w:b/>
                <w:i/>
              </w:rPr>
              <w:t>Author of Harmonized Template</w:t>
            </w:r>
          </w:p>
        </w:tc>
        <w:tc>
          <w:tcPr>
            <w:tcW w:w="4467" w:type="dxa"/>
          </w:tcPr>
          <w:p w14:paraId="47FF37CF" w14:textId="40EAB9AA" w:rsidR="0030269A" w:rsidRPr="0030386E" w:rsidRDefault="002E4385" w:rsidP="006C1D06">
            <w:pPr>
              <w:spacing w:before="60" w:after="60"/>
            </w:pPr>
            <w:r w:rsidRPr="0030386E">
              <w:t xml:space="preserve">REB </w:t>
            </w:r>
            <w:r w:rsidR="00012A3D" w:rsidRPr="0030386E">
              <w:t>SOPs</w:t>
            </w:r>
            <w:r w:rsidRPr="0030386E">
              <w:t xml:space="preserve"> developed by CATALIS Network</w:t>
            </w:r>
          </w:p>
        </w:tc>
        <w:tc>
          <w:tcPr>
            <w:tcW w:w="2206" w:type="dxa"/>
          </w:tcPr>
          <w:p w14:paraId="250CD206" w14:textId="08413EA4" w:rsidR="0030269A" w:rsidRPr="0030386E" w:rsidRDefault="002E4385" w:rsidP="006C1D06">
            <w:pPr>
              <w:spacing w:before="60" w:after="60"/>
              <w:jc w:val="center"/>
            </w:pPr>
            <w:r w:rsidRPr="0030386E">
              <w:t>2023-05-01</w:t>
            </w:r>
          </w:p>
        </w:tc>
      </w:tr>
      <w:tr w:rsidR="005A11F5" w:rsidRPr="0030386E" w14:paraId="70FC050D" w14:textId="77777777" w:rsidTr="00012A3D">
        <w:tc>
          <w:tcPr>
            <w:tcW w:w="3325" w:type="dxa"/>
          </w:tcPr>
          <w:p w14:paraId="31ECDE6D" w14:textId="77777777" w:rsidR="005A11F5" w:rsidRPr="0030386E" w:rsidRDefault="005A11F5" w:rsidP="006C1D06">
            <w:pPr>
              <w:spacing w:before="60" w:after="60"/>
              <w:rPr>
                <w:b/>
                <w:i/>
                <w:highlight w:val="yellow"/>
              </w:rPr>
            </w:pPr>
            <w:r w:rsidRPr="0030386E">
              <w:rPr>
                <w:b/>
                <w:i/>
              </w:rPr>
              <w:t>Approved</w:t>
            </w:r>
          </w:p>
        </w:tc>
        <w:tc>
          <w:tcPr>
            <w:tcW w:w="4467" w:type="dxa"/>
          </w:tcPr>
          <w:p w14:paraId="671DC83F" w14:textId="2A633CF3" w:rsidR="005A11F5" w:rsidRPr="0030386E" w:rsidRDefault="008F4B93" w:rsidP="006C1D06">
            <w:pPr>
              <w:spacing w:before="60" w:after="60"/>
            </w:pPr>
            <w:r w:rsidRPr="0030386E">
              <w:t>REB Full Board Meeting XXX</w:t>
            </w:r>
          </w:p>
        </w:tc>
        <w:tc>
          <w:tcPr>
            <w:tcW w:w="2206" w:type="dxa"/>
          </w:tcPr>
          <w:p w14:paraId="7C98121E" w14:textId="77777777" w:rsidR="005A11F5" w:rsidRPr="0030386E" w:rsidRDefault="005A11F5" w:rsidP="006C1D06">
            <w:pPr>
              <w:spacing w:before="60" w:after="60"/>
              <w:jc w:val="center"/>
            </w:pPr>
            <w:r w:rsidRPr="0030386E">
              <w:t>YYYY-MM-DD</w:t>
            </w:r>
          </w:p>
        </w:tc>
      </w:tr>
      <w:tr w:rsidR="005A11F5" w:rsidRPr="0030386E" w14:paraId="71A67F17" w14:textId="77777777" w:rsidTr="00012A3D">
        <w:tc>
          <w:tcPr>
            <w:tcW w:w="3325" w:type="dxa"/>
          </w:tcPr>
          <w:p w14:paraId="0F5AC32E" w14:textId="4CF7DE9B" w:rsidR="005A11F5" w:rsidRPr="0030386E" w:rsidRDefault="002E4385" w:rsidP="006C1D06">
            <w:pPr>
              <w:spacing w:before="60" w:after="60"/>
              <w:rPr>
                <w:b/>
                <w:i/>
                <w:highlight w:val="yellow"/>
              </w:rPr>
            </w:pPr>
            <w:r w:rsidRPr="0030386E">
              <w:rPr>
                <w:b/>
                <w:i/>
              </w:rPr>
              <w:t>[Approved] or [</w:t>
            </w:r>
            <w:r w:rsidR="005A11F5" w:rsidRPr="0030386E">
              <w:rPr>
                <w:b/>
                <w:i/>
              </w:rPr>
              <w:t>Acknowledge receipt</w:t>
            </w:r>
            <w:r w:rsidRPr="0030386E">
              <w:rPr>
                <w:b/>
                <w:i/>
              </w:rPr>
              <w:t>]</w:t>
            </w:r>
          </w:p>
        </w:tc>
        <w:tc>
          <w:tcPr>
            <w:tcW w:w="4467" w:type="dxa"/>
          </w:tcPr>
          <w:p w14:paraId="27FE6E24" w14:textId="3E63CA2C" w:rsidR="005A11F5" w:rsidRPr="0030386E" w:rsidRDefault="00E428CC" w:rsidP="006C1D06">
            <w:pPr>
              <w:spacing w:before="60" w:after="60"/>
            </w:pPr>
            <w:r w:rsidRPr="0030386E">
              <w:t xml:space="preserve">CA </w:t>
            </w:r>
            <w:r w:rsidR="005A11F5" w:rsidRPr="0030386E">
              <w:t>XXX</w:t>
            </w:r>
          </w:p>
        </w:tc>
        <w:tc>
          <w:tcPr>
            <w:tcW w:w="2206" w:type="dxa"/>
          </w:tcPr>
          <w:p w14:paraId="66D417EB" w14:textId="77777777" w:rsidR="005A11F5" w:rsidRPr="0030386E" w:rsidRDefault="005A11F5" w:rsidP="006C1D06">
            <w:pPr>
              <w:spacing w:before="60" w:after="60"/>
              <w:jc w:val="center"/>
            </w:pPr>
            <w:r w:rsidRPr="0030386E">
              <w:t>YYYY-MM-DD</w:t>
            </w:r>
          </w:p>
        </w:tc>
      </w:tr>
    </w:tbl>
    <w:p w14:paraId="1B6684B4" w14:textId="77777777" w:rsidR="002E18ED" w:rsidRPr="0030386E" w:rsidRDefault="002E18ED" w:rsidP="006C1D06">
      <w:pPr>
        <w:rPr>
          <w:b/>
        </w:rPr>
      </w:pPr>
    </w:p>
    <w:p w14:paraId="46FD9DDE" w14:textId="77777777" w:rsidR="0030269A" w:rsidRPr="0030386E" w:rsidRDefault="0030269A" w:rsidP="006C1D06">
      <w:pPr>
        <w:rPr>
          <w:b/>
        </w:rPr>
      </w:pPr>
      <w:r w:rsidRPr="0030386E">
        <w:rPr>
          <w:b/>
        </w:rPr>
        <w:t>Table of Content</w:t>
      </w:r>
    </w:p>
    <w:p w14:paraId="50B42C62" w14:textId="591DBF93" w:rsidR="00707D1A" w:rsidRDefault="0030269A" w:rsidP="00707D1A">
      <w:pPr>
        <w:pStyle w:val="TM1"/>
        <w:rPr>
          <w:kern w:val="2"/>
          <w:sz w:val="22"/>
          <w:szCs w:val="22"/>
          <w:lang w:val="fr-CA" w:eastAsia="fr-CA"/>
          <w14:ligatures w14:val="standardContextual"/>
        </w:rPr>
      </w:pPr>
      <w:r w:rsidRPr="0030386E">
        <w:rPr>
          <w:noProof w:val="0"/>
        </w:rPr>
        <w:fldChar w:fldCharType="begin"/>
      </w:r>
      <w:r w:rsidRPr="0030386E">
        <w:rPr>
          <w:noProof w:val="0"/>
        </w:rPr>
        <w:instrText xml:space="preserve"> TOC \o "1-2" \u </w:instrText>
      </w:r>
      <w:r w:rsidRPr="0030386E">
        <w:rPr>
          <w:noProof w:val="0"/>
        </w:rPr>
        <w:fldChar w:fldCharType="separate"/>
      </w:r>
      <w:r w:rsidR="00707D1A">
        <w:t>1</w:t>
      </w:r>
      <w:r w:rsidR="00707D1A">
        <w:rPr>
          <w:kern w:val="2"/>
          <w:sz w:val="22"/>
          <w:szCs w:val="22"/>
          <w:lang w:val="fr-CA" w:eastAsia="fr-CA"/>
          <w14:ligatures w14:val="standardContextual"/>
        </w:rPr>
        <w:tab/>
      </w:r>
      <w:r w:rsidR="00707D1A">
        <w:t>Purpose</w:t>
      </w:r>
      <w:r w:rsidR="00707D1A">
        <w:tab/>
      </w:r>
      <w:r w:rsidR="00707D1A">
        <w:fldChar w:fldCharType="begin"/>
      </w:r>
      <w:r w:rsidR="00707D1A">
        <w:instrText xml:space="preserve"> PAGEREF _Toc151475730 \h </w:instrText>
      </w:r>
      <w:r w:rsidR="00707D1A">
        <w:fldChar w:fldCharType="separate"/>
      </w:r>
      <w:r w:rsidR="00707D1A">
        <w:t>1</w:t>
      </w:r>
      <w:r w:rsidR="00707D1A">
        <w:fldChar w:fldCharType="end"/>
      </w:r>
    </w:p>
    <w:p w14:paraId="2B177D20" w14:textId="1ABC05BA" w:rsidR="00707D1A" w:rsidRDefault="00707D1A" w:rsidP="00707D1A">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_Toc151475731 \h </w:instrText>
      </w:r>
      <w:r>
        <w:fldChar w:fldCharType="separate"/>
      </w:r>
      <w:r>
        <w:t>2</w:t>
      </w:r>
      <w:r>
        <w:fldChar w:fldCharType="end"/>
      </w:r>
    </w:p>
    <w:p w14:paraId="3F280014" w14:textId="64821808" w:rsidR="00707D1A" w:rsidRDefault="00707D1A" w:rsidP="00707D1A">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_Toc151475732 \h </w:instrText>
      </w:r>
      <w:r>
        <w:fldChar w:fldCharType="separate"/>
      </w:r>
      <w:r>
        <w:t>2</w:t>
      </w:r>
      <w:r>
        <w:fldChar w:fldCharType="end"/>
      </w:r>
    </w:p>
    <w:p w14:paraId="7C97D5BB" w14:textId="4D11959D" w:rsidR="00707D1A" w:rsidRDefault="00707D1A" w:rsidP="00707D1A">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_Toc151475733 \h </w:instrText>
      </w:r>
      <w:r>
        <w:fldChar w:fldCharType="separate"/>
      </w:r>
      <w:r>
        <w:t>2</w:t>
      </w:r>
      <w:r>
        <w:fldChar w:fldCharType="end"/>
      </w:r>
    </w:p>
    <w:p w14:paraId="67EF584C" w14:textId="3653727E" w:rsidR="00707D1A" w:rsidRDefault="00707D1A" w:rsidP="00707D1A">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_Toc151475734 \h </w:instrText>
      </w:r>
      <w:r>
        <w:fldChar w:fldCharType="separate"/>
      </w:r>
      <w:r>
        <w:t>2</w:t>
      </w:r>
      <w:r>
        <w:fldChar w:fldCharType="end"/>
      </w:r>
    </w:p>
    <w:p w14:paraId="641B5511" w14:textId="7A7C10C4" w:rsidR="00707D1A" w:rsidRDefault="00707D1A">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Attendance</w:t>
      </w:r>
      <w:r>
        <w:tab/>
      </w:r>
      <w:r>
        <w:fldChar w:fldCharType="begin"/>
      </w:r>
      <w:r>
        <w:instrText xml:space="preserve"> PAGEREF _Toc151475735 \h </w:instrText>
      </w:r>
      <w:r>
        <w:fldChar w:fldCharType="separate"/>
      </w:r>
      <w:r>
        <w:t>2</w:t>
      </w:r>
      <w:r>
        <w:fldChar w:fldCharType="end"/>
      </w:r>
    </w:p>
    <w:p w14:paraId="079B57E1" w14:textId="22B3175C" w:rsidR="00707D1A" w:rsidRDefault="00707D1A">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Duties</w:t>
      </w:r>
      <w:r>
        <w:tab/>
      </w:r>
      <w:r>
        <w:fldChar w:fldCharType="begin"/>
      </w:r>
      <w:r>
        <w:instrText xml:space="preserve"> PAGEREF _Toc151475736 \h </w:instrText>
      </w:r>
      <w:r>
        <w:fldChar w:fldCharType="separate"/>
      </w:r>
      <w:r>
        <w:t>2</w:t>
      </w:r>
      <w:r>
        <w:fldChar w:fldCharType="end"/>
      </w:r>
    </w:p>
    <w:p w14:paraId="6D86F906" w14:textId="7EA17349" w:rsidR="00707D1A" w:rsidRDefault="00707D1A">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REB Chair</w:t>
      </w:r>
      <w:r>
        <w:tab/>
      </w:r>
      <w:r>
        <w:fldChar w:fldCharType="begin"/>
      </w:r>
      <w:r>
        <w:instrText xml:space="preserve"> PAGEREF _Toc151475737 \h </w:instrText>
      </w:r>
      <w:r>
        <w:fldChar w:fldCharType="separate"/>
      </w:r>
      <w:r>
        <w:t>3</w:t>
      </w:r>
      <w:r>
        <w:fldChar w:fldCharType="end"/>
      </w:r>
    </w:p>
    <w:p w14:paraId="6E0C5469" w14:textId="670E0D26" w:rsidR="00707D1A" w:rsidRDefault="00707D1A">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REB Vice-Chair</w:t>
      </w:r>
      <w:r>
        <w:tab/>
      </w:r>
      <w:r>
        <w:fldChar w:fldCharType="begin"/>
      </w:r>
      <w:r>
        <w:instrText xml:space="preserve"> PAGEREF _Toc151475738 \h </w:instrText>
      </w:r>
      <w:r>
        <w:fldChar w:fldCharType="separate"/>
      </w:r>
      <w:r>
        <w:t>4</w:t>
      </w:r>
      <w:r>
        <w:fldChar w:fldCharType="end"/>
      </w:r>
    </w:p>
    <w:p w14:paraId="6A0F3C73" w14:textId="0386893E" w:rsidR="00707D1A" w:rsidRDefault="00707D1A">
      <w:pPr>
        <w:pStyle w:val="TM2"/>
        <w:rPr>
          <w:kern w:val="2"/>
          <w:sz w:val="22"/>
          <w:szCs w:val="22"/>
          <w:lang w:val="fr-CA" w:eastAsia="fr-CA"/>
          <w14:ligatures w14:val="standardContextual"/>
        </w:rPr>
      </w:pPr>
      <w:r>
        <w:t>5.5</w:t>
      </w:r>
      <w:r>
        <w:rPr>
          <w:kern w:val="2"/>
          <w:sz w:val="22"/>
          <w:szCs w:val="22"/>
          <w:lang w:val="fr-CA" w:eastAsia="fr-CA"/>
          <w14:ligatures w14:val="standardContextual"/>
        </w:rPr>
        <w:tab/>
      </w:r>
      <w:r>
        <w:t>Training and Education</w:t>
      </w:r>
      <w:r>
        <w:tab/>
      </w:r>
      <w:r>
        <w:fldChar w:fldCharType="begin"/>
      </w:r>
      <w:r>
        <w:instrText xml:space="preserve"> PAGEREF _Toc151475739 \h </w:instrText>
      </w:r>
      <w:r>
        <w:fldChar w:fldCharType="separate"/>
      </w:r>
      <w:r>
        <w:t>4</w:t>
      </w:r>
      <w:r>
        <w:fldChar w:fldCharType="end"/>
      </w:r>
    </w:p>
    <w:p w14:paraId="658EEECD" w14:textId="3F26E7E3" w:rsidR="00707D1A" w:rsidRDefault="00707D1A">
      <w:pPr>
        <w:pStyle w:val="TM2"/>
        <w:rPr>
          <w:kern w:val="2"/>
          <w:sz w:val="22"/>
          <w:szCs w:val="22"/>
          <w:lang w:val="fr-CA" w:eastAsia="fr-CA"/>
          <w14:ligatures w14:val="standardContextual"/>
        </w:rPr>
      </w:pPr>
      <w:r>
        <w:t>5.6</w:t>
      </w:r>
      <w:r>
        <w:rPr>
          <w:kern w:val="2"/>
          <w:sz w:val="22"/>
          <w:szCs w:val="22"/>
          <w:lang w:val="fr-CA" w:eastAsia="fr-CA"/>
          <w14:ligatures w14:val="standardContextual"/>
        </w:rPr>
        <w:tab/>
      </w:r>
      <w:r>
        <w:t>Conflict of Interest</w:t>
      </w:r>
      <w:r>
        <w:tab/>
      </w:r>
      <w:r>
        <w:fldChar w:fldCharType="begin"/>
      </w:r>
      <w:r>
        <w:instrText xml:space="preserve"> PAGEREF _Toc151475740 \h </w:instrText>
      </w:r>
      <w:r>
        <w:fldChar w:fldCharType="separate"/>
      </w:r>
      <w:r>
        <w:t>4</w:t>
      </w:r>
      <w:r>
        <w:fldChar w:fldCharType="end"/>
      </w:r>
    </w:p>
    <w:p w14:paraId="376C254F" w14:textId="01BB1C28" w:rsidR="00707D1A" w:rsidRDefault="00707D1A" w:rsidP="00707D1A">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_Toc151475741 \h </w:instrText>
      </w:r>
      <w:r>
        <w:fldChar w:fldCharType="separate"/>
      </w:r>
      <w:r>
        <w:t>4</w:t>
      </w:r>
      <w:r>
        <w:fldChar w:fldCharType="end"/>
      </w:r>
    </w:p>
    <w:p w14:paraId="4AE024AF" w14:textId="54431F8B" w:rsidR="00707D1A" w:rsidRDefault="00707D1A" w:rsidP="00707D1A">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_Toc151475742 \h </w:instrText>
      </w:r>
      <w:r>
        <w:fldChar w:fldCharType="separate"/>
      </w:r>
      <w:r>
        <w:t>5</w:t>
      </w:r>
      <w:r>
        <w:fldChar w:fldCharType="end"/>
      </w:r>
    </w:p>
    <w:p w14:paraId="13EC3760" w14:textId="4A4FE1CA" w:rsidR="00707D1A" w:rsidRDefault="00707D1A" w:rsidP="00707D1A">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_Toc151475743 \h </w:instrText>
      </w:r>
      <w:r>
        <w:fldChar w:fldCharType="separate"/>
      </w:r>
      <w:r>
        <w:t>5</w:t>
      </w:r>
      <w:r>
        <w:fldChar w:fldCharType="end"/>
      </w:r>
    </w:p>
    <w:p w14:paraId="1E2DDEB5" w14:textId="681523A2" w:rsidR="002B5BA5" w:rsidRPr="0030386E" w:rsidRDefault="0030269A" w:rsidP="006C1D06">
      <w:r w:rsidRPr="0030386E">
        <w:rPr>
          <w:rFonts w:eastAsiaTheme="minorEastAsia" w:cstheme="minorHAnsi"/>
          <w:lang w:eastAsia="fr-FR"/>
        </w:rPr>
        <w:fldChar w:fldCharType="end"/>
      </w:r>
    </w:p>
    <w:p w14:paraId="60C591F4" w14:textId="77777777" w:rsidR="00B66BD6" w:rsidRPr="0030386E" w:rsidRDefault="00756C58" w:rsidP="006C1D06">
      <w:pPr>
        <w:pStyle w:val="Titre1"/>
        <w:widowControl/>
      </w:pPr>
      <w:bookmarkStart w:id="0" w:name="_Toc151475730"/>
      <w:r w:rsidRPr="0030386E">
        <w:t>Purpose</w:t>
      </w:r>
      <w:bookmarkEnd w:id="0"/>
    </w:p>
    <w:p w14:paraId="167D336E" w14:textId="77777777" w:rsidR="002E18ED" w:rsidRPr="0030386E" w:rsidRDefault="00097218" w:rsidP="006C1D06">
      <w:r w:rsidRPr="0030386E">
        <w:t>This standard operating procedure (SOP) describes the duties of the members of the Research Ethics Board (REB).</w:t>
      </w:r>
    </w:p>
    <w:p w14:paraId="5C2ACB1E" w14:textId="77777777" w:rsidR="00756C58" w:rsidRPr="0030386E" w:rsidRDefault="00756C58" w:rsidP="006C1D06">
      <w:pPr>
        <w:pStyle w:val="Titre1"/>
        <w:widowControl/>
      </w:pPr>
      <w:bookmarkStart w:id="1" w:name="_Toc151475731"/>
      <w:r w:rsidRPr="0030386E">
        <w:lastRenderedPageBreak/>
        <w:t>Scope</w:t>
      </w:r>
      <w:bookmarkEnd w:id="1"/>
    </w:p>
    <w:p w14:paraId="70BF14AA" w14:textId="77777777" w:rsidR="002E18ED" w:rsidRPr="0030386E" w:rsidRDefault="00097218" w:rsidP="006C1D06">
      <w:r w:rsidRPr="0030386E">
        <w:t>This SOP pertains to REBs that review human participant research in compliance with applicable regulations and guidelines.</w:t>
      </w:r>
    </w:p>
    <w:p w14:paraId="6D88A4A2" w14:textId="77777777" w:rsidR="00756C58" w:rsidRPr="0030386E" w:rsidRDefault="002E18ED" w:rsidP="006C1D06">
      <w:pPr>
        <w:pStyle w:val="Titre1"/>
        <w:widowControl/>
      </w:pPr>
      <w:bookmarkStart w:id="2" w:name="_Toc151475732"/>
      <w:r w:rsidRPr="0030386E">
        <w:t>R</w:t>
      </w:r>
      <w:r w:rsidR="00756C58" w:rsidRPr="0030386E">
        <w:t>esponsibilities</w:t>
      </w:r>
      <w:bookmarkEnd w:id="2"/>
    </w:p>
    <w:p w14:paraId="2E20C3D4" w14:textId="77777777" w:rsidR="00F13210" w:rsidRPr="0030386E" w:rsidRDefault="00F13210" w:rsidP="006C1D06">
      <w:r w:rsidRPr="0030386E">
        <w:t>All REB members and designated REB staff are responsible for ensuring that the requirements of this SOP are met.</w:t>
      </w:r>
    </w:p>
    <w:p w14:paraId="3A0561ED" w14:textId="77777777" w:rsidR="00F13210" w:rsidRPr="0030386E" w:rsidRDefault="00F13210" w:rsidP="006C1D06">
      <w:r w:rsidRPr="0030386E">
        <w:t>REB members are responsible for fulfilling their duties as specified in this SOP.</w:t>
      </w:r>
    </w:p>
    <w:p w14:paraId="7B8A86A1" w14:textId="77777777" w:rsidR="00756C58" w:rsidRPr="0030386E" w:rsidRDefault="002E18ED" w:rsidP="006C1D06">
      <w:pPr>
        <w:pStyle w:val="Titre1"/>
        <w:widowControl/>
      </w:pPr>
      <w:bookmarkStart w:id="3" w:name="_Toc151475733"/>
      <w:r w:rsidRPr="0030386E">
        <w:t>D</w:t>
      </w:r>
      <w:r w:rsidR="00756C58" w:rsidRPr="0030386E">
        <w:t>efinitions</w:t>
      </w:r>
      <w:bookmarkEnd w:id="3"/>
    </w:p>
    <w:p w14:paraId="0C5BBDE9" w14:textId="77777777" w:rsidR="002E18ED" w:rsidRPr="0030386E" w:rsidRDefault="00A313CE" w:rsidP="006C1D06">
      <w:r w:rsidRPr="0030386E">
        <w:t>See Glossary of Terms.</w:t>
      </w:r>
    </w:p>
    <w:p w14:paraId="36914B04" w14:textId="77777777" w:rsidR="00756C58" w:rsidRPr="0030386E" w:rsidRDefault="002E18ED" w:rsidP="006C1D06">
      <w:pPr>
        <w:pStyle w:val="Titre1"/>
        <w:widowControl/>
      </w:pPr>
      <w:bookmarkStart w:id="4" w:name="_Toc151475734"/>
      <w:r w:rsidRPr="0030386E">
        <w:t>P</w:t>
      </w:r>
      <w:r w:rsidR="00756C58" w:rsidRPr="0030386E">
        <w:t>rocedures</w:t>
      </w:r>
      <w:bookmarkEnd w:id="4"/>
    </w:p>
    <w:p w14:paraId="7EF7BB35" w14:textId="77777777" w:rsidR="00F13210" w:rsidRPr="0030386E" w:rsidRDefault="00F13210" w:rsidP="006C1D06">
      <w:r w:rsidRPr="0030386E">
        <w:t>Each REB member will ensure that any research submitted for their review safeguards the dignity, rights, safety, and well-being of human participants in a research study.</w:t>
      </w:r>
      <w:r w:rsidRPr="0030386E">
        <w:rPr>
          <w:vertAlign w:val="superscript"/>
        </w:rPr>
        <w:footnoteReference w:id="1"/>
      </w:r>
      <w:r w:rsidRPr="0030386E">
        <w:t xml:space="preserve"> Each REB member will also ensure the promotion of quality research. </w:t>
      </w:r>
      <w:proofErr w:type="gramStart"/>
      <w:r w:rsidRPr="0030386E">
        <w:t>In order to</w:t>
      </w:r>
      <w:proofErr w:type="gramEnd"/>
      <w:r w:rsidRPr="0030386E">
        <w:t xml:space="preserve"> fulfill his or her duties, each REB member must be versed in regulations governing biomedical research ethics and the protection of human participants as well as in policies germane to human research participant protection.</w:t>
      </w:r>
      <w:r w:rsidRPr="0030386E">
        <w:rPr>
          <w:vertAlign w:val="superscript"/>
        </w:rPr>
        <w:footnoteReference w:id="2"/>
      </w:r>
    </w:p>
    <w:p w14:paraId="00D5C988" w14:textId="77777777" w:rsidR="00F13210" w:rsidRPr="0030386E" w:rsidRDefault="00F13210" w:rsidP="006C1D06">
      <w:pPr>
        <w:pStyle w:val="Titre2"/>
        <w:widowControl/>
      </w:pPr>
      <w:bookmarkStart w:id="5" w:name="_Toc151475735"/>
      <w:r w:rsidRPr="0030386E">
        <w:t>Attendance</w:t>
      </w:r>
      <w:bookmarkEnd w:id="5"/>
    </w:p>
    <w:p w14:paraId="24A121D4" w14:textId="77777777" w:rsidR="00F13210" w:rsidRPr="0030386E" w:rsidRDefault="00F13210" w:rsidP="006C1D06">
      <w:pPr>
        <w:pStyle w:val="Titre3"/>
        <w:widowControl/>
      </w:pPr>
      <w:r w:rsidRPr="0030386E">
        <w:t xml:space="preserve">REB members are expected to attend REB meetings to which they are </w:t>
      </w:r>
      <w:proofErr w:type="gramStart"/>
      <w:r w:rsidRPr="0030386E">
        <w:t>convened;</w:t>
      </w:r>
      <w:proofErr w:type="gramEnd"/>
    </w:p>
    <w:p w14:paraId="549B7711" w14:textId="29E66AE0" w:rsidR="00F13210" w:rsidRPr="0030386E" w:rsidRDefault="00F13210" w:rsidP="006C1D06">
      <w:pPr>
        <w:pStyle w:val="Titre3"/>
        <w:widowControl/>
      </w:pPr>
      <w:r w:rsidRPr="0030386E">
        <w:t xml:space="preserve">REB members must notify the REB office if they will be absent for a meeting to which they are convened, </w:t>
      </w:r>
      <w:proofErr w:type="gramStart"/>
      <w:r w:rsidRPr="0030386E">
        <w:t>in order to</w:t>
      </w:r>
      <w:proofErr w:type="gramEnd"/>
      <w:r w:rsidRPr="0030386E">
        <w:t xml:space="preserve"> ensure that quorum can still be met and/or so that an appropriate alternate may attend in his/her place.</w:t>
      </w:r>
    </w:p>
    <w:p w14:paraId="6B339D3B" w14:textId="77777777" w:rsidR="00F13210" w:rsidRPr="0030386E" w:rsidRDefault="00F13210" w:rsidP="006C1D06">
      <w:pPr>
        <w:pStyle w:val="Titre2"/>
        <w:widowControl/>
      </w:pPr>
      <w:bookmarkStart w:id="6" w:name="_Toc151475736"/>
      <w:r w:rsidRPr="0030386E">
        <w:t>Duties</w:t>
      </w:r>
      <w:bookmarkEnd w:id="6"/>
    </w:p>
    <w:p w14:paraId="3623BEB2" w14:textId="77777777" w:rsidR="00F13210" w:rsidRPr="0030386E" w:rsidRDefault="00F13210" w:rsidP="006C1D06">
      <w:pPr>
        <w:pStyle w:val="Titre3"/>
        <w:widowControl/>
      </w:pPr>
      <w:r w:rsidRPr="0030386E">
        <w:t xml:space="preserve">All REB members attending an REB meeting are expected to review the relevant materials submitted for each item under review or consideration by the REB in advance, and to be prepared to discuss </w:t>
      </w:r>
      <w:r w:rsidRPr="0030386E">
        <w:lastRenderedPageBreak/>
        <w:t xml:space="preserve">them at the meeting. In so doing, they will pay particular attention to elements involving the areas of expertise expected of their mandate and for which they were called to serve on the </w:t>
      </w:r>
      <w:proofErr w:type="gramStart"/>
      <w:r w:rsidRPr="0030386E">
        <w:t>REB;</w:t>
      </w:r>
      <w:proofErr w:type="gramEnd"/>
    </w:p>
    <w:p w14:paraId="145779A0" w14:textId="60217FB7" w:rsidR="00F13210" w:rsidRPr="0030386E" w:rsidRDefault="00F13210" w:rsidP="006C1D06">
      <w:pPr>
        <w:pStyle w:val="Titre3"/>
        <w:widowControl/>
      </w:pPr>
      <w:r w:rsidRPr="0030386E">
        <w:t>All REB members participating in a</w:t>
      </w:r>
      <w:r w:rsidR="002E4385" w:rsidRPr="0030386E">
        <w:t>n</w:t>
      </w:r>
      <w:r w:rsidRPr="0030386E">
        <w:t xml:space="preserve"> ethics review </w:t>
      </w:r>
      <w:r w:rsidR="002E4385" w:rsidRPr="0030386E">
        <w:t xml:space="preserve">under the delegated review procedure </w:t>
      </w:r>
      <w:r w:rsidRPr="0030386E">
        <w:t xml:space="preserve">are expected to review the relevant materials submitted for each item under review or consideration by the REB, and to </w:t>
      </w:r>
      <w:r w:rsidR="00B276A2" w:rsidRPr="0030386E">
        <w:t>make</w:t>
      </w:r>
      <w:r w:rsidR="00855C90" w:rsidRPr="0030386E">
        <w:t xml:space="preserve"> </w:t>
      </w:r>
      <w:r w:rsidRPr="0030386E">
        <w:t xml:space="preserve">comments or be prepared to discuss them within the timeframe specified by the </w:t>
      </w:r>
      <w:proofErr w:type="gramStart"/>
      <w:r w:rsidRPr="0030386E">
        <w:t>REB;</w:t>
      </w:r>
      <w:proofErr w:type="gramEnd"/>
    </w:p>
    <w:p w14:paraId="7AE1A31F" w14:textId="77777777" w:rsidR="00F13210" w:rsidRPr="0030386E" w:rsidRDefault="00F13210" w:rsidP="006C1D06">
      <w:pPr>
        <w:pStyle w:val="Titre3"/>
        <w:widowControl/>
      </w:pPr>
      <w:r w:rsidRPr="0030386E">
        <w:t>REB members appointed for their expertise in scientific matters, ethics, or law will pay particular attention to elements involving the areas of expertise expected of their mandate and for which they were called to serve on the REB</w:t>
      </w:r>
      <w:r w:rsidRPr="0030386E">
        <w:rPr>
          <w:vertAlign w:val="superscript"/>
        </w:rPr>
        <w:footnoteReference w:id="3"/>
      </w:r>
      <w:r w:rsidRPr="0030386E">
        <w:t>;</w:t>
      </w:r>
    </w:p>
    <w:p w14:paraId="3D3BDEB6" w14:textId="35A4910B" w:rsidR="00F13210" w:rsidRPr="0030386E" w:rsidRDefault="00F13210" w:rsidP="006C1D06">
      <w:pPr>
        <w:pStyle w:val="Titre3"/>
        <w:widowControl/>
      </w:pPr>
      <w:r w:rsidRPr="0030386E">
        <w:t>Community members are expected to provide input regarding their knowledge about the community and be able to discuss issues and research from that perspective. They are essential to help broaden the perspective and value base of the institution, and thus advance dialogue with, and accountability to, local groups.</w:t>
      </w:r>
      <w:r w:rsidRPr="0030386E">
        <w:rPr>
          <w:vertAlign w:val="superscript"/>
        </w:rPr>
        <w:footnoteReference w:id="4"/>
      </w:r>
      <w:r w:rsidRPr="0030386E">
        <w:t xml:space="preserve"> </w:t>
      </w:r>
    </w:p>
    <w:p w14:paraId="3CDBCF19" w14:textId="77777777" w:rsidR="00F13210" w:rsidRPr="0030386E" w:rsidRDefault="00F13210" w:rsidP="006C1D06">
      <w:pPr>
        <w:pStyle w:val="Titre2"/>
        <w:widowControl/>
      </w:pPr>
      <w:bookmarkStart w:id="7" w:name="_Toc151475737"/>
      <w:r w:rsidRPr="0030386E">
        <w:t>REB Chair</w:t>
      </w:r>
      <w:bookmarkEnd w:id="7"/>
    </w:p>
    <w:p w14:paraId="67E251E5" w14:textId="0000BE18" w:rsidR="00F13210" w:rsidRPr="0030386E" w:rsidRDefault="00F13210" w:rsidP="006C1D06">
      <w:pPr>
        <w:pStyle w:val="Titre3"/>
      </w:pPr>
      <w:r w:rsidRPr="0030386E">
        <w:t>The REB Chair provides overall leadership to the REB and facilitates the REB review process based on the institution’s policies and procedures.</w:t>
      </w:r>
      <w:r w:rsidRPr="0030386E">
        <w:rPr>
          <w:vertAlign w:val="superscript"/>
        </w:rPr>
        <w:footnoteReference w:id="5"/>
      </w:r>
      <w:r w:rsidR="00B0575C" w:rsidRPr="0030386E">
        <w:t xml:space="preserve"> </w:t>
      </w:r>
      <w:r w:rsidRPr="0030386E">
        <w:t>This includes the following:</w:t>
      </w:r>
    </w:p>
    <w:p w14:paraId="706CBA1F" w14:textId="77777777" w:rsidR="00F13210" w:rsidRPr="0030386E" w:rsidRDefault="00F13210" w:rsidP="006C1D06">
      <w:pPr>
        <w:pStyle w:val="SOPBulletC"/>
      </w:pPr>
      <w:r w:rsidRPr="0030386E">
        <w:t>The REB Chair can delegate any of his/her responsibilities, as appropriate, to a Vice-Chair or other qualified individual(s),</w:t>
      </w:r>
    </w:p>
    <w:p w14:paraId="162D21BD" w14:textId="77777777" w:rsidR="00F13210" w:rsidRPr="0030386E" w:rsidRDefault="00F13210" w:rsidP="006C1D06">
      <w:pPr>
        <w:pStyle w:val="SOPBulletC"/>
      </w:pPr>
      <w:r w:rsidRPr="0030386E">
        <w:t>Any responsibilities that are delegated by the REB Chair must be documented,</w:t>
      </w:r>
    </w:p>
    <w:p w14:paraId="5C74077B" w14:textId="77777777" w:rsidR="00F13210" w:rsidRPr="0030386E" w:rsidRDefault="00F13210" w:rsidP="006C1D06">
      <w:pPr>
        <w:pStyle w:val="SOPBulletC"/>
      </w:pPr>
      <w:r w:rsidRPr="0030386E">
        <w:t>The REB Chair or designee facilitates the review process based on organizational policies and procedures, SOPs, and applicable regulations and guidelines,</w:t>
      </w:r>
    </w:p>
    <w:p w14:paraId="6A4FDFE2" w14:textId="77777777" w:rsidR="00F13210" w:rsidRPr="0030386E" w:rsidRDefault="00F13210" w:rsidP="006C1D06">
      <w:pPr>
        <w:pStyle w:val="SOPBulletC"/>
      </w:pPr>
      <w:r w:rsidRPr="0030386E">
        <w:t>The REB Chair or designee monitors the REB’s decisions for consistency,</w:t>
      </w:r>
    </w:p>
    <w:p w14:paraId="154CD804" w14:textId="77777777" w:rsidR="00F13210" w:rsidRPr="0030386E" w:rsidRDefault="00F13210" w:rsidP="006C1D06">
      <w:pPr>
        <w:pStyle w:val="SOPBulletC"/>
      </w:pPr>
      <w:r w:rsidRPr="0030386E">
        <w:t xml:space="preserve">The REB Chair or designee ensures that all REB members are free to participate in discussions during REB meetings, </w:t>
      </w:r>
    </w:p>
    <w:p w14:paraId="4007CF0B" w14:textId="77777777" w:rsidR="00F13210" w:rsidRPr="0030386E" w:rsidRDefault="00F13210" w:rsidP="006C1D06">
      <w:pPr>
        <w:pStyle w:val="SOPBulletC"/>
      </w:pPr>
      <w:r w:rsidRPr="0030386E">
        <w:t xml:space="preserve">The REB Chair or designee can ask an ad hoc advisor to attend an REB meeting </w:t>
      </w:r>
      <w:proofErr w:type="gramStart"/>
      <w:r w:rsidRPr="0030386E">
        <w:t>in order to</w:t>
      </w:r>
      <w:proofErr w:type="gramEnd"/>
      <w:r w:rsidRPr="0030386E">
        <w:t xml:space="preserve"> draw his/her expertise in an area that may be relevant to the REB’s review and deliberations of the research,</w:t>
      </w:r>
    </w:p>
    <w:p w14:paraId="069EBEAD" w14:textId="77777777" w:rsidR="00F13210" w:rsidRPr="0030386E" w:rsidRDefault="00F13210" w:rsidP="006C1D06">
      <w:pPr>
        <w:pStyle w:val="SOPBulletC"/>
      </w:pPr>
      <w:r w:rsidRPr="0030386E">
        <w:t>The REB Chair or designee determines whether the research is appropriate for delegated review,</w:t>
      </w:r>
    </w:p>
    <w:p w14:paraId="1305B8FC" w14:textId="77777777" w:rsidR="00F13210" w:rsidRPr="0030386E" w:rsidRDefault="00F13210" w:rsidP="006C1D06">
      <w:pPr>
        <w:pStyle w:val="SOPBulletC"/>
      </w:pPr>
      <w:r w:rsidRPr="0030386E">
        <w:t>The REB Chair or designee ensures that REB decisions are accurately input into the minutes and clearly communicated to researchers in writing,</w:t>
      </w:r>
    </w:p>
    <w:p w14:paraId="5D964F9F" w14:textId="77777777" w:rsidR="00F13210" w:rsidRPr="0030386E" w:rsidRDefault="00F13210" w:rsidP="006C1D06">
      <w:pPr>
        <w:pStyle w:val="SOPBulletC"/>
      </w:pPr>
      <w:r w:rsidRPr="0030386E">
        <w:lastRenderedPageBreak/>
        <w:t>For REB approval of clinical trials approved by Health Canada, the REB approval letter and REB attestation, if not already included in the approval letter, is signed by the REB Chair or designee,</w:t>
      </w:r>
    </w:p>
    <w:p w14:paraId="6A7969D1" w14:textId="77777777" w:rsidR="00F13210" w:rsidRPr="0030386E" w:rsidRDefault="00F13210" w:rsidP="006C1D06">
      <w:pPr>
        <w:pStyle w:val="SOPBulletC"/>
      </w:pPr>
      <w:r w:rsidRPr="0030386E">
        <w:t xml:space="preserve">The REB Chair or designee can suspend the conduct of any research project if he/she deems that a change has rendered it unacceptable to: </w:t>
      </w:r>
    </w:p>
    <w:p w14:paraId="4EDD55B6" w14:textId="77777777" w:rsidR="00F13210" w:rsidRPr="0030386E" w:rsidRDefault="00F13210" w:rsidP="006C1D06">
      <w:pPr>
        <w:pStyle w:val="SOPBulletD"/>
      </w:pPr>
      <w:r w:rsidRPr="0030386E">
        <w:t>place participants at a new unacceptable risk level, and</w:t>
      </w:r>
    </w:p>
    <w:p w14:paraId="1C2DF858" w14:textId="77777777" w:rsidR="00F13210" w:rsidRPr="0030386E" w:rsidRDefault="00F13210" w:rsidP="006C1D06">
      <w:pPr>
        <w:pStyle w:val="SOPBulletD"/>
      </w:pPr>
      <w:r w:rsidRPr="0030386E">
        <w:t>wait for the next REB Full Board Meeting to discuss it.</w:t>
      </w:r>
    </w:p>
    <w:p w14:paraId="2A9CF78D" w14:textId="77777777" w:rsidR="00F13210" w:rsidRPr="0030386E" w:rsidRDefault="00F13210" w:rsidP="006C1D06">
      <w:pPr>
        <w:pStyle w:val="SOPBulletC"/>
        <w:numPr>
          <w:ilvl w:val="0"/>
          <w:numId w:val="0"/>
        </w:numPr>
        <w:ind w:left="1701"/>
      </w:pPr>
      <w:r w:rsidRPr="0030386E">
        <w:t>The change in risk may be related to circumstances including, but not limited to, a Researcher not adhering to the REB approved protocol or to the REB’s policies and procedures,</w:t>
      </w:r>
    </w:p>
    <w:p w14:paraId="62D19CCF" w14:textId="77777777" w:rsidR="00F13210" w:rsidRPr="0030386E" w:rsidRDefault="00F13210" w:rsidP="006C1D06">
      <w:pPr>
        <w:pStyle w:val="SOPBulletC"/>
      </w:pPr>
      <w:r w:rsidRPr="0030386E">
        <w:t>The REB Chair or designee will report on the activities of the REB to the Board of Directors on an annual basis,</w:t>
      </w:r>
    </w:p>
    <w:p w14:paraId="1E79A112" w14:textId="77777777" w:rsidR="00F13210" w:rsidRPr="0030386E" w:rsidRDefault="00F13210" w:rsidP="006C1D06">
      <w:pPr>
        <w:pStyle w:val="SOPBulletC"/>
      </w:pPr>
      <w:r w:rsidRPr="0030386E">
        <w:t>The REB Chair, in conjunction with the REB Support Staff, shall assess the educational and training needs of REB members and Support Staff,</w:t>
      </w:r>
    </w:p>
    <w:p w14:paraId="3B24EA49" w14:textId="0F672725" w:rsidR="00F13210" w:rsidRPr="0030386E" w:rsidRDefault="00F13210" w:rsidP="006C1D06">
      <w:pPr>
        <w:pStyle w:val="SOPBulletC"/>
      </w:pPr>
      <w:r w:rsidRPr="0030386E">
        <w:t>The REB Chair or designee reviews REB policies and procedures as needed, to ensure that REB SOPs meet all current standards.</w:t>
      </w:r>
      <w:r w:rsidR="00C60DA8" w:rsidRPr="0030386E">
        <w:rPr>
          <w:rStyle w:val="Appelnotedebasdep"/>
        </w:rPr>
        <w:footnoteReference w:id="6"/>
      </w:r>
    </w:p>
    <w:p w14:paraId="123CB595" w14:textId="77777777" w:rsidR="00F13210" w:rsidRPr="0030386E" w:rsidRDefault="00F13210" w:rsidP="006C1D06">
      <w:pPr>
        <w:pStyle w:val="Titre2"/>
        <w:widowControl/>
      </w:pPr>
      <w:bookmarkStart w:id="8" w:name="_Toc151475738"/>
      <w:r w:rsidRPr="0030386E">
        <w:t>REB Vice-Chair</w:t>
      </w:r>
      <w:bookmarkEnd w:id="8"/>
    </w:p>
    <w:p w14:paraId="3E0EDE69" w14:textId="3EAAEC0C" w:rsidR="00F13210" w:rsidRPr="0030386E" w:rsidRDefault="00F13210" w:rsidP="006C1D06">
      <w:pPr>
        <w:pStyle w:val="Titre3"/>
        <w:widowControl/>
      </w:pPr>
      <w:r w:rsidRPr="0030386E">
        <w:t>In addition to performing responsibilities delegated by the REB Chair, the REB Vice-Chair or equivalent is responsible for performing the responsibilities of the REB Chair when the REB Chair is unable to do</w:t>
      </w:r>
      <w:r w:rsidR="008E6886" w:rsidRPr="0030386E">
        <w:t> </w:t>
      </w:r>
      <w:r w:rsidRPr="0030386E">
        <w:t>so.</w:t>
      </w:r>
    </w:p>
    <w:p w14:paraId="5B772E58" w14:textId="77777777" w:rsidR="00F13210" w:rsidRPr="0030386E" w:rsidRDefault="00F13210" w:rsidP="006C1D06">
      <w:pPr>
        <w:pStyle w:val="Titre2"/>
        <w:widowControl/>
      </w:pPr>
      <w:bookmarkStart w:id="9" w:name="_Toc151475739"/>
      <w:r w:rsidRPr="0030386E">
        <w:t>Training and Education</w:t>
      </w:r>
      <w:bookmarkEnd w:id="9"/>
    </w:p>
    <w:p w14:paraId="0639DBC3" w14:textId="77777777" w:rsidR="00F13210" w:rsidRPr="0030386E" w:rsidRDefault="00F13210" w:rsidP="006C1D06">
      <w:pPr>
        <w:pStyle w:val="Titre3"/>
        <w:widowControl/>
      </w:pPr>
      <w:r w:rsidRPr="0030386E">
        <w:t>REB members are expected to follow training and education procedures.</w:t>
      </w:r>
      <w:r w:rsidRPr="0030386E">
        <w:rPr>
          <w:vertAlign w:val="superscript"/>
        </w:rPr>
        <w:footnoteReference w:id="7"/>
      </w:r>
    </w:p>
    <w:p w14:paraId="74B069A1" w14:textId="77777777" w:rsidR="00F13210" w:rsidRPr="0030386E" w:rsidRDefault="00F13210" w:rsidP="006C1D06">
      <w:pPr>
        <w:pStyle w:val="Titre2"/>
        <w:widowControl/>
      </w:pPr>
      <w:bookmarkStart w:id="10" w:name="_Toc151475740"/>
      <w:r w:rsidRPr="0030386E">
        <w:t>Conflict of Interest</w:t>
      </w:r>
      <w:bookmarkEnd w:id="10"/>
    </w:p>
    <w:p w14:paraId="2ED1429F" w14:textId="77777777" w:rsidR="00F13210" w:rsidRPr="0030386E" w:rsidRDefault="00F13210" w:rsidP="006C1D06">
      <w:pPr>
        <w:pStyle w:val="Titre3"/>
        <w:widowControl/>
      </w:pPr>
      <w:r w:rsidRPr="0030386E">
        <w:t>REB members are expected to follow conflict of interest procedures.</w:t>
      </w:r>
      <w:r w:rsidRPr="0030386E">
        <w:rPr>
          <w:vertAlign w:val="superscript"/>
        </w:rPr>
        <w:footnoteReference w:id="8"/>
      </w:r>
    </w:p>
    <w:p w14:paraId="6365BC12" w14:textId="77777777" w:rsidR="00756C58" w:rsidRPr="0030386E" w:rsidRDefault="002E18ED" w:rsidP="006C1D06">
      <w:pPr>
        <w:pStyle w:val="Titre1"/>
        <w:widowControl/>
      </w:pPr>
      <w:bookmarkStart w:id="11" w:name="_Toc151475741"/>
      <w:r w:rsidRPr="0030386E">
        <w:t>R</w:t>
      </w:r>
      <w:r w:rsidR="00756C58" w:rsidRPr="0030386E">
        <w:t>eferences</w:t>
      </w:r>
      <w:bookmarkEnd w:id="11"/>
    </w:p>
    <w:p w14:paraId="50ECDB86" w14:textId="77777777" w:rsidR="00756C58" w:rsidRPr="0030386E" w:rsidRDefault="00A313CE" w:rsidP="006C1D06">
      <w:r w:rsidRPr="0030386E">
        <w:t>See footnotes.</w:t>
      </w:r>
    </w:p>
    <w:p w14:paraId="29AE8D7B" w14:textId="77777777" w:rsidR="00756C58" w:rsidRPr="0030386E" w:rsidRDefault="002E18ED" w:rsidP="006C1D06">
      <w:pPr>
        <w:pStyle w:val="Titre1"/>
        <w:widowControl/>
      </w:pPr>
      <w:bookmarkStart w:id="12" w:name="_Toc151475742"/>
      <w:r w:rsidRPr="0030386E">
        <w:lastRenderedPageBreak/>
        <w:t>R</w:t>
      </w:r>
      <w:r w:rsidR="00756C58" w:rsidRPr="0030386E">
        <w:t>evision History</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30386E" w14:paraId="4B3C7CE0" w14:textId="77777777" w:rsidTr="0030704D">
        <w:tc>
          <w:tcPr>
            <w:tcW w:w="2297" w:type="dxa"/>
            <w:tcBorders>
              <w:right w:val="single" w:sz="4" w:space="0" w:color="auto"/>
            </w:tcBorders>
            <w:shd w:val="clear" w:color="auto" w:fill="auto"/>
            <w:vAlign w:val="center"/>
          </w:tcPr>
          <w:p w14:paraId="28766D72" w14:textId="77777777" w:rsidR="00756C58" w:rsidRPr="0030386E" w:rsidRDefault="00756C58" w:rsidP="006C1D06">
            <w:pPr>
              <w:keepNext/>
              <w:spacing w:before="0" w:after="0"/>
              <w:jc w:val="center"/>
              <w:rPr>
                <w:rFonts w:eastAsia="Calibri"/>
                <w:b/>
              </w:rPr>
            </w:pPr>
            <w:r w:rsidRPr="0030386E">
              <w:rPr>
                <w:rFonts w:eastAsia="Calibri"/>
                <w:b/>
              </w:rPr>
              <w:t>SOP Code</w:t>
            </w:r>
          </w:p>
        </w:tc>
        <w:tc>
          <w:tcPr>
            <w:tcW w:w="1559" w:type="dxa"/>
            <w:tcBorders>
              <w:left w:val="single" w:sz="4" w:space="0" w:color="auto"/>
              <w:right w:val="single" w:sz="4" w:space="0" w:color="auto"/>
            </w:tcBorders>
            <w:shd w:val="clear" w:color="auto" w:fill="auto"/>
            <w:vAlign w:val="center"/>
          </w:tcPr>
          <w:p w14:paraId="62516602" w14:textId="77777777" w:rsidR="00756C58" w:rsidRPr="0030386E" w:rsidRDefault="00756C58" w:rsidP="006C1D06">
            <w:pPr>
              <w:keepNext/>
              <w:spacing w:before="0" w:after="0"/>
              <w:jc w:val="center"/>
              <w:rPr>
                <w:rFonts w:eastAsia="Calibri"/>
                <w:b/>
              </w:rPr>
            </w:pPr>
            <w:r w:rsidRPr="0030386E">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7C35263" w14:textId="77777777" w:rsidR="00756C58" w:rsidRPr="0030386E" w:rsidRDefault="00756C58" w:rsidP="006C1D06">
            <w:pPr>
              <w:keepNext/>
              <w:spacing w:before="0" w:after="0"/>
              <w:jc w:val="left"/>
              <w:rPr>
                <w:rFonts w:eastAsia="Calibri"/>
                <w:b/>
              </w:rPr>
            </w:pPr>
            <w:r w:rsidRPr="0030386E">
              <w:rPr>
                <w:rFonts w:eastAsia="Calibri"/>
                <w:b/>
              </w:rPr>
              <w:t>Summary of Changes</w:t>
            </w:r>
          </w:p>
        </w:tc>
      </w:tr>
      <w:tr w:rsidR="00756C58" w:rsidRPr="0030386E" w14:paraId="62382001" w14:textId="77777777" w:rsidTr="0030704D">
        <w:tc>
          <w:tcPr>
            <w:tcW w:w="2297" w:type="dxa"/>
            <w:tcBorders>
              <w:right w:val="single" w:sz="4" w:space="0" w:color="auto"/>
            </w:tcBorders>
            <w:shd w:val="clear" w:color="auto" w:fill="auto"/>
            <w:vAlign w:val="center"/>
          </w:tcPr>
          <w:p w14:paraId="6A8F8034" w14:textId="733846D2" w:rsidR="00756C58" w:rsidRPr="0030386E" w:rsidRDefault="00756C58" w:rsidP="006C1D06">
            <w:pPr>
              <w:keepNext/>
              <w:spacing w:before="0" w:after="0"/>
              <w:jc w:val="left"/>
              <w:rPr>
                <w:rFonts w:eastAsia="Calibri" w:cs="Arial"/>
              </w:rPr>
            </w:pPr>
            <w:r w:rsidRPr="0030386E">
              <w:rPr>
                <w:rFonts w:eastAsia="Calibri"/>
              </w:rPr>
              <w:t>REB</w:t>
            </w:r>
            <w:r w:rsidR="00660163" w:rsidRPr="0030386E">
              <w:rPr>
                <w:rFonts w:eastAsia="Calibri"/>
              </w:rPr>
              <w:t>-</w:t>
            </w:r>
            <w:r w:rsidRPr="0030386E">
              <w:rPr>
                <w:rFonts w:eastAsia="Calibri"/>
              </w:rPr>
              <w:t>SOP</w:t>
            </w:r>
            <w:r w:rsidR="00660163" w:rsidRPr="0030386E">
              <w:rPr>
                <w:rFonts w:eastAsia="Calibri"/>
              </w:rPr>
              <w:t xml:space="preserve"> </w:t>
            </w:r>
            <w:r w:rsidR="00126E6C" w:rsidRPr="0030386E">
              <w:rPr>
                <w:rFonts w:eastAsia="Calibri"/>
              </w:rPr>
              <w:t>203</w:t>
            </w:r>
            <w:r w:rsidR="00C60DA8" w:rsidRPr="0030386E">
              <w:rPr>
                <w:rFonts w:eastAsia="Calibri"/>
              </w:rPr>
              <w:t>-</w:t>
            </w:r>
            <w:r w:rsidR="00126E6C" w:rsidRPr="0030386E">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63B23" w14:textId="4B829B51" w:rsidR="00756C58" w:rsidRPr="0030386E" w:rsidRDefault="00C60DA8" w:rsidP="006C1D06">
            <w:pPr>
              <w:keepNext/>
              <w:spacing w:before="0" w:after="0"/>
              <w:jc w:val="center"/>
              <w:rPr>
                <w:rFonts w:eastAsia="Calibri"/>
              </w:rPr>
            </w:pPr>
            <w:r w:rsidRPr="0030386E">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8764F0" w14:textId="77777777" w:rsidR="00756C58" w:rsidRPr="0030386E" w:rsidRDefault="00756C58" w:rsidP="006C1D06">
            <w:pPr>
              <w:keepNext/>
              <w:spacing w:before="0" w:after="0"/>
              <w:jc w:val="left"/>
              <w:rPr>
                <w:rFonts w:eastAsia="Calibri"/>
              </w:rPr>
            </w:pPr>
            <w:r w:rsidRPr="0030386E">
              <w:rPr>
                <w:rFonts w:eastAsia="Calibri"/>
              </w:rPr>
              <w:t xml:space="preserve">Original </w:t>
            </w:r>
            <w:r w:rsidR="00B43B4B" w:rsidRPr="0030386E">
              <w:rPr>
                <w:rFonts w:eastAsia="Calibri"/>
              </w:rPr>
              <w:t>v</w:t>
            </w:r>
            <w:r w:rsidRPr="0030386E">
              <w:rPr>
                <w:rFonts w:eastAsia="Calibri"/>
              </w:rPr>
              <w:t>ersion</w:t>
            </w:r>
          </w:p>
        </w:tc>
      </w:tr>
      <w:tr w:rsidR="00C60DA8" w:rsidRPr="0030386E" w14:paraId="7757FCB0" w14:textId="77777777" w:rsidTr="0030704D">
        <w:tc>
          <w:tcPr>
            <w:tcW w:w="2297" w:type="dxa"/>
            <w:tcBorders>
              <w:right w:val="single" w:sz="4" w:space="0" w:color="auto"/>
            </w:tcBorders>
            <w:shd w:val="clear" w:color="auto" w:fill="auto"/>
            <w:vAlign w:val="center"/>
          </w:tcPr>
          <w:p w14:paraId="1E30B7E2" w14:textId="6B6B79D6" w:rsidR="00C60DA8" w:rsidRPr="0030386E" w:rsidRDefault="00C60DA8" w:rsidP="00C60DA8">
            <w:pPr>
              <w:keepNext/>
              <w:spacing w:before="0" w:after="0"/>
              <w:jc w:val="left"/>
              <w:rPr>
                <w:rFonts w:eastAsia="Calibri"/>
              </w:rPr>
            </w:pPr>
            <w:r w:rsidRPr="0030386E">
              <w:rPr>
                <w:rFonts w:eastAsia="Calibri"/>
              </w:rPr>
              <w:t>REB-SOP 203-002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0B13B2" w14:textId="28F6E29F" w:rsidR="00C60DA8" w:rsidRPr="0030386E" w:rsidRDefault="00C60DA8" w:rsidP="00C60DA8">
            <w:pPr>
              <w:keepNext/>
              <w:spacing w:before="0" w:after="0"/>
              <w:jc w:val="center"/>
              <w:rPr>
                <w:rFonts w:eastAsia="Calibri"/>
              </w:rPr>
            </w:pPr>
            <w:r w:rsidRPr="0030386E">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47AEED" w14:textId="77777777" w:rsidR="00C60DA8" w:rsidRPr="0030386E" w:rsidRDefault="00C60DA8" w:rsidP="00C60DA8">
            <w:pPr>
              <w:keepNext/>
              <w:spacing w:before="0" w:after="0"/>
              <w:jc w:val="left"/>
              <w:rPr>
                <w:rFonts w:eastAsia="Calibri"/>
              </w:rPr>
            </w:pPr>
            <w:r w:rsidRPr="0030386E">
              <w:rPr>
                <w:rFonts w:eastAsia="Calibri"/>
              </w:rPr>
              <w:t xml:space="preserve">Updated in line with regulations in </w:t>
            </w:r>
            <w:proofErr w:type="gramStart"/>
            <w:r w:rsidRPr="0030386E">
              <w:rPr>
                <w:rFonts w:eastAsia="Calibri"/>
              </w:rPr>
              <w:t>effect</w:t>
            </w:r>
            <w:proofErr w:type="gramEnd"/>
          </w:p>
          <w:p w14:paraId="19FF6F27" w14:textId="6A67E8CB" w:rsidR="00C60DA8" w:rsidRPr="0030386E" w:rsidRDefault="00C60DA8" w:rsidP="00C60DA8">
            <w:pPr>
              <w:keepNext/>
              <w:spacing w:before="0" w:after="0"/>
              <w:jc w:val="left"/>
              <w:rPr>
                <w:rFonts w:eastAsia="Calibri"/>
              </w:rPr>
            </w:pPr>
            <w:r w:rsidRPr="0030386E">
              <w:rPr>
                <w:rFonts w:eastAsia="Calibri"/>
              </w:rPr>
              <w:t>Updated references</w:t>
            </w:r>
          </w:p>
        </w:tc>
      </w:tr>
      <w:tr w:rsidR="00756C58" w:rsidRPr="0030386E" w14:paraId="58FD3B69" w14:textId="77777777" w:rsidTr="0030704D">
        <w:tc>
          <w:tcPr>
            <w:tcW w:w="2297" w:type="dxa"/>
            <w:tcBorders>
              <w:right w:val="single" w:sz="4" w:space="0" w:color="auto"/>
            </w:tcBorders>
            <w:shd w:val="clear" w:color="auto" w:fill="auto"/>
            <w:vAlign w:val="center"/>
          </w:tcPr>
          <w:p w14:paraId="0585DDC2" w14:textId="77777777" w:rsidR="00756C58" w:rsidRPr="0030386E" w:rsidRDefault="00756C58" w:rsidP="006C1D06">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B990BA7" w14:textId="77777777" w:rsidR="00756C58" w:rsidRPr="0030386E" w:rsidRDefault="00756C58" w:rsidP="006C1D06">
            <w:pPr>
              <w:keepNext/>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960FE01" w14:textId="77777777" w:rsidR="00756C58" w:rsidRPr="0030386E" w:rsidRDefault="00756C58" w:rsidP="006C1D06">
            <w:pPr>
              <w:keepNext/>
              <w:spacing w:before="0" w:after="0"/>
              <w:jc w:val="left"/>
              <w:rPr>
                <w:rFonts w:eastAsia="Calibri"/>
              </w:rPr>
            </w:pPr>
          </w:p>
        </w:tc>
      </w:tr>
    </w:tbl>
    <w:p w14:paraId="05DD1D30" w14:textId="77777777" w:rsidR="00756C58" w:rsidRPr="0030386E" w:rsidRDefault="002E18ED" w:rsidP="006C1D06">
      <w:pPr>
        <w:pStyle w:val="Titre1"/>
        <w:widowControl/>
      </w:pPr>
      <w:bookmarkStart w:id="13" w:name="_Toc151475743"/>
      <w:r w:rsidRPr="0030386E">
        <w:t>Appendices</w:t>
      </w:r>
      <w:bookmarkEnd w:id="13"/>
    </w:p>
    <w:p w14:paraId="0EB57F73" w14:textId="77777777" w:rsidR="00756C58" w:rsidRPr="0030386E" w:rsidRDefault="00756C58" w:rsidP="006C1D06"/>
    <w:sectPr w:rsidR="00756C58" w:rsidRPr="0030386E"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0318" w14:textId="77777777" w:rsidR="00EB794D" w:rsidRDefault="00EB794D" w:rsidP="0030269A">
      <w:pPr>
        <w:spacing w:before="0" w:after="0"/>
      </w:pPr>
      <w:r>
        <w:separator/>
      </w:r>
    </w:p>
  </w:endnote>
  <w:endnote w:type="continuationSeparator" w:id="0">
    <w:p w14:paraId="25A6BD1F" w14:textId="77777777" w:rsidR="00EB794D" w:rsidRDefault="00EB794D"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F2E" w14:textId="77777777" w:rsidR="002E18ED" w:rsidRPr="00627E38" w:rsidRDefault="002E18ED" w:rsidP="002E18ED">
    <w:pPr>
      <w:pStyle w:val="Pieddepage"/>
      <w:pBdr>
        <w:bottom w:val="single" w:sz="4" w:space="1" w:color="auto"/>
      </w:pBdr>
      <w:rPr>
        <w:sz w:val="20"/>
        <w:szCs w:val="20"/>
      </w:rPr>
    </w:pPr>
  </w:p>
  <w:p w14:paraId="697B8AA8" w14:textId="2D057846"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2E4385">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8F5D" w14:textId="77777777" w:rsidR="00EB794D" w:rsidRDefault="00EB794D" w:rsidP="0030269A">
      <w:pPr>
        <w:spacing w:before="0" w:after="0"/>
      </w:pPr>
      <w:r>
        <w:separator/>
      </w:r>
    </w:p>
  </w:footnote>
  <w:footnote w:type="continuationSeparator" w:id="0">
    <w:p w14:paraId="2B9A33D9" w14:textId="77777777" w:rsidR="00EB794D" w:rsidRDefault="00EB794D" w:rsidP="0030269A">
      <w:pPr>
        <w:spacing w:before="0" w:after="0"/>
      </w:pPr>
      <w:r>
        <w:continuationSeparator/>
      </w:r>
    </w:p>
  </w:footnote>
  <w:footnote w:id="1">
    <w:p w14:paraId="73359091" w14:textId="6FEC9A69" w:rsidR="00F13210" w:rsidRPr="00855C90" w:rsidRDefault="00F13210" w:rsidP="00F13210">
      <w:pPr>
        <w:pStyle w:val="Notedebasdepage"/>
        <w:jc w:val="left"/>
      </w:pPr>
      <w:r w:rsidRPr="00855C90">
        <w:rPr>
          <w:rStyle w:val="Appelnotedebasdep"/>
        </w:rPr>
        <w:footnoteRef/>
      </w:r>
      <w:r w:rsidRPr="00855C90">
        <w:t xml:space="preserve"> </w:t>
      </w:r>
      <w:r w:rsidRPr="00855C90">
        <w:tab/>
      </w:r>
      <w:r w:rsidR="000B71EA" w:rsidRPr="006243C6">
        <w:rPr>
          <w:rFonts w:ascii="Calibri" w:hAnsi="Calibri" w:cs="Calibri"/>
          <w:lang w:eastAsia="en-CA"/>
        </w:rPr>
        <w:t>Guidance Document: Good Clinical Practice: Integrated Addendum to E6(R1)</w:t>
      </w:r>
      <w:r w:rsidR="000B71EA" w:rsidRPr="006243C6">
        <w:rPr>
          <w:rFonts w:ascii="Calibri" w:hAnsi="Calibri" w:cs="Calibri"/>
        </w:rPr>
        <w:t xml:space="preserve"> ICH Topic E6(R2), Health Canada, April 2019, </w:t>
      </w:r>
      <w:r w:rsidRPr="00855C90">
        <w:t xml:space="preserve">“ICH GCP”, s. 3.1.1; </w:t>
      </w:r>
      <w:r w:rsidR="002E4385" w:rsidRPr="00855C90">
        <w:rPr>
          <w:i/>
        </w:rPr>
        <w:t xml:space="preserve">Cadre de </w:t>
      </w:r>
      <w:proofErr w:type="spellStart"/>
      <w:r w:rsidR="002E4385" w:rsidRPr="00855C90">
        <w:rPr>
          <w:i/>
        </w:rPr>
        <w:t>référence</w:t>
      </w:r>
      <w:proofErr w:type="spellEnd"/>
      <w:r w:rsidR="002E4385" w:rsidRPr="00855C90">
        <w:rPr>
          <w:i/>
        </w:rPr>
        <w:t xml:space="preserve"> </w:t>
      </w:r>
      <w:proofErr w:type="spellStart"/>
      <w:r w:rsidR="002E4385" w:rsidRPr="00855C90">
        <w:rPr>
          <w:i/>
        </w:rPr>
        <w:t>ministériel</w:t>
      </w:r>
      <w:proofErr w:type="spellEnd"/>
      <w:r w:rsidR="002E4385" w:rsidRPr="00855C90">
        <w:rPr>
          <w:i/>
        </w:rPr>
        <w:t xml:space="preserve"> pour la recherche avec des participants </w:t>
      </w:r>
      <w:proofErr w:type="spellStart"/>
      <w:r w:rsidR="002E4385" w:rsidRPr="00855C90">
        <w:rPr>
          <w:i/>
        </w:rPr>
        <w:t>humains</w:t>
      </w:r>
      <w:proofErr w:type="spellEnd"/>
      <w:r w:rsidR="002E4385" w:rsidRPr="00855C90">
        <w:rPr>
          <w:i/>
        </w:rPr>
        <w:t xml:space="preserve">, </w:t>
      </w:r>
      <w:r w:rsidR="002E4385" w:rsidRPr="00855C90">
        <w:rPr>
          <w:iCs/>
        </w:rPr>
        <w:t>Quebec</w:t>
      </w:r>
      <w:r w:rsidRPr="00855C90">
        <w:t xml:space="preserve">, </w:t>
      </w:r>
      <w:proofErr w:type="spellStart"/>
      <w:r w:rsidRPr="00855C90">
        <w:rPr>
          <w:i/>
        </w:rPr>
        <w:t>Ministère</w:t>
      </w:r>
      <w:proofErr w:type="spellEnd"/>
      <w:r w:rsidRPr="00855C90">
        <w:rPr>
          <w:i/>
        </w:rPr>
        <w:t xml:space="preserve"> de la </w:t>
      </w:r>
      <w:proofErr w:type="spellStart"/>
      <w:r w:rsidRPr="00855C90">
        <w:rPr>
          <w:i/>
        </w:rPr>
        <w:t>Santé</w:t>
      </w:r>
      <w:proofErr w:type="spellEnd"/>
      <w:r w:rsidRPr="00855C90">
        <w:rPr>
          <w:i/>
        </w:rPr>
        <w:t xml:space="preserve"> et des Services </w:t>
      </w:r>
      <w:proofErr w:type="spellStart"/>
      <w:r w:rsidRPr="00855C90">
        <w:rPr>
          <w:i/>
        </w:rPr>
        <w:t>sociaux</w:t>
      </w:r>
      <w:proofErr w:type="spellEnd"/>
      <w:r w:rsidRPr="00855C90">
        <w:t xml:space="preserve">, </w:t>
      </w:r>
      <w:r w:rsidR="002E4385" w:rsidRPr="00855C90">
        <w:t>October 2020</w:t>
      </w:r>
      <w:r w:rsidRPr="00855C90">
        <w:t>, hereafter “</w:t>
      </w:r>
      <w:r w:rsidR="002E4385" w:rsidRPr="00855C90">
        <w:rPr>
          <w:i/>
        </w:rPr>
        <w:t>Cadre</w:t>
      </w:r>
      <w:r w:rsidRPr="00855C90">
        <w:t xml:space="preserve">”, </w:t>
      </w:r>
      <w:r w:rsidR="002E4385" w:rsidRPr="00855C90">
        <w:t>under 1.3</w:t>
      </w:r>
      <w:r w:rsidRPr="00855C90">
        <w:t>; Operational Guidelines for Ethics Committees that Review Biomedical Research, World Health Organization (WHO), 2000, hereafter “TDR”, s. 2.</w:t>
      </w:r>
    </w:p>
  </w:footnote>
  <w:footnote w:id="2">
    <w:p w14:paraId="68F80CAD" w14:textId="5730DCA0" w:rsidR="00F13210" w:rsidRPr="00855C90" w:rsidRDefault="00F13210" w:rsidP="00F13210">
      <w:pPr>
        <w:pStyle w:val="Notedebasdepage"/>
        <w:jc w:val="left"/>
      </w:pPr>
      <w:r w:rsidRPr="00855C90">
        <w:rPr>
          <w:rStyle w:val="Appelnotedebasdep"/>
        </w:rPr>
        <w:footnoteRef/>
      </w:r>
      <w:r w:rsidRPr="00855C90">
        <w:t xml:space="preserve"> </w:t>
      </w:r>
      <w:r w:rsidRPr="00855C90">
        <w:tab/>
        <w:t>Mainly, but not only, the Canadian Institutes of Health Research, Natural Sciences and Engineering Research Council of Canada, and Social Sciences and Humanities Research Council of Canada,</w:t>
      </w:r>
      <w:r w:rsidR="00855C90" w:rsidRPr="00855C90">
        <w:t xml:space="preserve"> </w:t>
      </w:r>
      <w:r w:rsidRPr="00855C90">
        <w:t xml:space="preserve">Tri-Council Policy Statement: Ethical Conduct for Research Involving Humans, </w:t>
      </w:r>
      <w:r w:rsidR="00EE1904">
        <w:t>December</w:t>
      </w:r>
      <w:r w:rsidR="002E4385" w:rsidRPr="00855C90">
        <w:t xml:space="preserve"> 2018, hereafter “TCPS2”, art. 6.4 and application</w:t>
      </w:r>
      <w:r w:rsidRPr="00855C90">
        <w:t>.</w:t>
      </w:r>
    </w:p>
  </w:footnote>
  <w:footnote w:id="3">
    <w:p w14:paraId="0F0B2862" w14:textId="229FE8FE" w:rsidR="00F13210" w:rsidRPr="00855C90" w:rsidRDefault="00F13210" w:rsidP="00F13210">
      <w:pPr>
        <w:pStyle w:val="Notedebasdepage"/>
        <w:jc w:val="left"/>
      </w:pPr>
      <w:r w:rsidRPr="00855C90">
        <w:rPr>
          <w:rStyle w:val="Appelnotedebasdep"/>
          <w:rFonts w:ascii="Arial" w:hAnsi="Arial" w:cs="Arial"/>
          <w:sz w:val="18"/>
          <w:szCs w:val="18"/>
        </w:rPr>
        <w:footnoteRef/>
      </w:r>
      <w:r w:rsidRPr="00855C90">
        <w:t xml:space="preserve"> </w:t>
      </w:r>
      <w:r w:rsidRPr="00855C90">
        <w:tab/>
        <w:t>TCPS2,</w:t>
      </w:r>
      <w:r w:rsidR="00855C90" w:rsidRPr="00855C90">
        <w:t xml:space="preserve"> </w:t>
      </w:r>
      <w:r w:rsidR="00C60DA8" w:rsidRPr="00855C90">
        <w:t>application under art. 6.4</w:t>
      </w:r>
      <w:r w:rsidRPr="00855C90">
        <w:t xml:space="preserve">. </w:t>
      </w:r>
    </w:p>
  </w:footnote>
  <w:footnote w:id="4">
    <w:p w14:paraId="3A1901C8" w14:textId="6BBA2B71" w:rsidR="00F13210" w:rsidRPr="00855C90" w:rsidRDefault="00F13210" w:rsidP="00F13210">
      <w:pPr>
        <w:pStyle w:val="Notedebasdepage"/>
        <w:jc w:val="left"/>
      </w:pPr>
      <w:r w:rsidRPr="00855C90">
        <w:rPr>
          <w:rStyle w:val="Appelnotedebasdep"/>
          <w:rFonts w:ascii="Arial" w:hAnsi="Arial" w:cs="Arial"/>
          <w:sz w:val="18"/>
          <w:szCs w:val="18"/>
        </w:rPr>
        <w:footnoteRef/>
      </w:r>
      <w:r w:rsidRPr="00855C90">
        <w:t xml:space="preserve"> </w:t>
      </w:r>
      <w:r w:rsidRPr="00855C90">
        <w:tab/>
        <w:t>TCPS2,</w:t>
      </w:r>
      <w:r w:rsidR="00855C90" w:rsidRPr="00855C90">
        <w:t xml:space="preserve"> </w:t>
      </w:r>
      <w:r w:rsidR="00C60DA8" w:rsidRPr="00855C90">
        <w:t>application under art. 6.4</w:t>
      </w:r>
      <w:r w:rsidRPr="00855C90">
        <w:t>.</w:t>
      </w:r>
    </w:p>
  </w:footnote>
  <w:footnote w:id="5">
    <w:p w14:paraId="6C6628C0" w14:textId="77777777" w:rsidR="00F13210" w:rsidRPr="00855C90" w:rsidRDefault="00F13210" w:rsidP="00F13210">
      <w:pPr>
        <w:pStyle w:val="Notedebasdepage"/>
        <w:jc w:val="left"/>
      </w:pPr>
      <w:r w:rsidRPr="00855C90">
        <w:rPr>
          <w:rStyle w:val="Appelnotedebasdep"/>
          <w:rFonts w:ascii="Arial" w:hAnsi="Arial" w:cs="Arial"/>
          <w:sz w:val="18"/>
          <w:szCs w:val="18"/>
        </w:rPr>
        <w:footnoteRef/>
      </w:r>
      <w:r w:rsidRPr="00855C90">
        <w:t xml:space="preserve"> </w:t>
      </w:r>
      <w:r w:rsidRPr="00855C90">
        <w:tab/>
        <w:t>TCPS2, art. 6.8.</w:t>
      </w:r>
    </w:p>
  </w:footnote>
  <w:footnote w:id="6">
    <w:p w14:paraId="03557336" w14:textId="0604C882" w:rsidR="00C60DA8" w:rsidRPr="00855C90" w:rsidRDefault="00C60DA8">
      <w:pPr>
        <w:pStyle w:val="Notedebasdepage"/>
      </w:pPr>
      <w:r w:rsidRPr="00855C90">
        <w:rPr>
          <w:rStyle w:val="Appelnotedebasdep"/>
        </w:rPr>
        <w:footnoteRef/>
      </w:r>
      <w:r w:rsidRPr="00855C90">
        <w:t xml:space="preserve"> </w:t>
      </w:r>
      <w:r w:rsidRPr="00855C90">
        <w:tab/>
        <w:t xml:space="preserve">See </w:t>
      </w:r>
      <w:r w:rsidR="00C74DD8">
        <w:t>REB-</w:t>
      </w:r>
      <w:r w:rsidRPr="00855C90">
        <w:t>SOP 108-002.</w:t>
      </w:r>
    </w:p>
  </w:footnote>
  <w:footnote w:id="7">
    <w:p w14:paraId="26363873" w14:textId="6B4D8ACF" w:rsidR="00F13210" w:rsidRPr="00855C90" w:rsidRDefault="00F13210" w:rsidP="00F13210">
      <w:pPr>
        <w:pStyle w:val="Notedebasdepage"/>
        <w:jc w:val="left"/>
      </w:pPr>
      <w:r w:rsidRPr="00855C90">
        <w:rPr>
          <w:rStyle w:val="Appelnotedebasdep"/>
          <w:rFonts w:ascii="Arial" w:hAnsi="Arial" w:cs="Arial"/>
          <w:sz w:val="18"/>
          <w:szCs w:val="18"/>
        </w:rPr>
        <w:footnoteRef/>
      </w:r>
      <w:r w:rsidRPr="00855C90">
        <w:t xml:space="preserve"> </w:t>
      </w:r>
      <w:r w:rsidRPr="00855C90">
        <w:tab/>
        <w:t xml:space="preserve">See </w:t>
      </w:r>
      <w:r w:rsidR="00C74DD8">
        <w:t>REB-</w:t>
      </w:r>
      <w:r w:rsidRPr="00855C90">
        <w:t>SOP 103</w:t>
      </w:r>
      <w:r w:rsidR="00C60DA8" w:rsidRPr="00855C90">
        <w:t>-002</w:t>
      </w:r>
      <w:r w:rsidR="002C6B9A" w:rsidRPr="00855C90">
        <w:t>.</w:t>
      </w:r>
    </w:p>
  </w:footnote>
  <w:footnote w:id="8">
    <w:p w14:paraId="0920606F" w14:textId="27D2E5D3" w:rsidR="00F13210" w:rsidRPr="00855C90" w:rsidRDefault="00F13210" w:rsidP="00F13210">
      <w:pPr>
        <w:pStyle w:val="Notedebasdepage"/>
        <w:jc w:val="left"/>
      </w:pPr>
      <w:r w:rsidRPr="00855C90">
        <w:rPr>
          <w:rStyle w:val="Appelnotedebasdep"/>
          <w:rFonts w:ascii="Arial" w:hAnsi="Arial" w:cs="Arial"/>
          <w:sz w:val="18"/>
          <w:szCs w:val="18"/>
        </w:rPr>
        <w:footnoteRef/>
      </w:r>
      <w:r w:rsidRPr="00855C90">
        <w:t xml:space="preserve"> </w:t>
      </w:r>
      <w:r w:rsidRPr="00855C90">
        <w:tab/>
        <w:t xml:space="preserve">See </w:t>
      </w:r>
      <w:r w:rsidR="00C74DD8">
        <w:t>REB-</w:t>
      </w:r>
      <w:r w:rsidRPr="00855C90">
        <w:t>SOP 105A</w:t>
      </w:r>
      <w:r w:rsidR="00C60DA8" w:rsidRPr="00855C90">
        <w:t>-002</w:t>
      </w:r>
      <w:r w:rsidR="002C6B9A" w:rsidRPr="00855C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FACC"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3CEDAB76" w14:textId="77777777" w:rsidTr="58B8826E">
      <w:trPr>
        <w:trHeight w:val="567"/>
      </w:trPr>
      <w:tc>
        <w:tcPr>
          <w:tcW w:w="4957" w:type="dxa"/>
          <w:vMerge w:val="restart"/>
          <w:tcBorders>
            <w:right w:val="single" w:sz="4" w:space="0" w:color="auto"/>
          </w:tcBorders>
          <w:shd w:val="clear" w:color="auto" w:fill="auto"/>
          <w:vAlign w:val="center"/>
        </w:tcPr>
        <w:p w14:paraId="205B39FB" w14:textId="2C55B95A"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66CC0BCD" w14:textId="733A9117"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097218" w:rsidRPr="00097218">
            <w:rPr>
              <w:sz w:val="32"/>
              <w:szCs w:val="32"/>
              <w:lang w:val="en-US"/>
            </w:rPr>
            <w:t>203</w:t>
          </w:r>
          <w:r w:rsidR="002E4385">
            <w:rPr>
              <w:sz w:val="32"/>
              <w:szCs w:val="32"/>
              <w:lang w:val="en-US"/>
            </w:rPr>
            <w:t>-002</w:t>
          </w:r>
        </w:p>
      </w:tc>
    </w:tr>
    <w:tr w:rsidR="0030269A" w:rsidRPr="005A11F5" w14:paraId="4F04BCCA" w14:textId="77777777" w:rsidTr="58B8826E">
      <w:trPr>
        <w:trHeight w:val="567"/>
      </w:trPr>
      <w:tc>
        <w:tcPr>
          <w:tcW w:w="4957" w:type="dxa"/>
          <w:vMerge/>
        </w:tcPr>
        <w:p w14:paraId="04D7AE9B"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1521087" w14:textId="77777777" w:rsidR="0030269A" w:rsidRPr="002F7EC5" w:rsidRDefault="0030269A" w:rsidP="0030269A">
          <w:pPr>
            <w:spacing w:before="0" w:after="0"/>
            <w:jc w:val="right"/>
            <w:rPr>
              <w:lang w:val="en-US"/>
            </w:rPr>
          </w:pPr>
          <w:r w:rsidRPr="002F7EC5">
            <w:rPr>
              <w:lang w:val="en-US"/>
            </w:rPr>
            <w:t>Research Ethics Board</w:t>
          </w:r>
        </w:p>
        <w:p w14:paraId="2450E8EE" w14:textId="77777777" w:rsidR="0030269A" w:rsidRPr="002F7EC5" w:rsidRDefault="0030269A" w:rsidP="0030269A">
          <w:pPr>
            <w:spacing w:before="0" w:after="0"/>
            <w:jc w:val="right"/>
            <w:rPr>
              <w:lang w:val="en-US"/>
            </w:rPr>
          </w:pPr>
          <w:r w:rsidRPr="002F7EC5">
            <w:rPr>
              <w:lang w:val="en-US"/>
            </w:rPr>
            <w:t>Standard Operating Procedure</w:t>
          </w:r>
        </w:p>
      </w:tc>
    </w:tr>
  </w:tbl>
  <w:p w14:paraId="03CB726B" w14:textId="77777777" w:rsidR="0030269A" w:rsidRPr="002F7EC5" w:rsidRDefault="0030269A" w:rsidP="0030269A">
    <w:pPr>
      <w:pStyle w:val="En-tte"/>
      <w:rPr>
        <w:lang w:val="en-US"/>
      </w:rPr>
    </w:pPr>
  </w:p>
  <w:p w14:paraId="2EF12EF7"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6970B5F"/>
    <w:multiLevelType w:val="multilevel"/>
    <w:tmpl w:val="10529B5A"/>
    <w:lvl w:ilvl="0">
      <w:start w:val="5"/>
      <w:numFmt w:val="decimal"/>
      <w:lvlText w:val="%1"/>
      <w:lvlJc w:val="left"/>
      <w:pPr>
        <w:tabs>
          <w:tab w:val="num" w:pos="0"/>
        </w:tabs>
        <w:ind w:left="0" w:hanging="720"/>
      </w:pPr>
      <w:rPr>
        <w:rFonts w:cs="Times New Roman" w:hint="default"/>
      </w:rPr>
    </w:lvl>
    <w:lvl w:ilvl="1">
      <w:start w:val="4"/>
      <w:numFmt w:val="decimal"/>
      <w:lvlText w:val="%1.%2"/>
      <w:lvlJc w:val="left"/>
      <w:pPr>
        <w:tabs>
          <w:tab w:val="num" w:pos="0"/>
        </w:tabs>
        <w:ind w:left="0" w:hanging="720"/>
      </w:pPr>
      <w:rPr>
        <w:rFonts w:ascii="Arial" w:eastAsia="Times New Roman" w:hAnsi="Arial" w:cs="Times New Roman" w:hint="default"/>
        <w:b/>
        <w:bCs/>
        <w:spacing w:val="1"/>
        <w:w w:val="99"/>
        <w:sz w:val="24"/>
        <w:szCs w:val="24"/>
      </w:rPr>
    </w:lvl>
    <w:lvl w:ilvl="2">
      <w:start w:val="1"/>
      <w:numFmt w:val="decimal"/>
      <w:lvlText w:val="%1.5.%3"/>
      <w:lvlJc w:val="left"/>
      <w:pPr>
        <w:tabs>
          <w:tab w:val="num" w:pos="1258"/>
        </w:tabs>
        <w:ind w:left="1258" w:hanging="708"/>
      </w:pPr>
      <w:rPr>
        <w:rFonts w:ascii="Arial" w:eastAsia="Times New Roman" w:hAnsi="Arial" w:cs="Times New Roman" w:hint="default"/>
        <w:spacing w:val="1"/>
        <w:w w:val="99"/>
        <w:sz w:val="24"/>
        <w:szCs w:val="24"/>
      </w:rPr>
    </w:lvl>
    <w:lvl w:ilvl="3">
      <w:start w:val="1"/>
      <w:numFmt w:val="bullet"/>
      <w:lvlText w:val="•"/>
      <w:lvlJc w:val="left"/>
      <w:pPr>
        <w:tabs>
          <w:tab w:val="num" w:pos="0"/>
        </w:tabs>
        <w:ind w:left="0" w:firstLine="0"/>
      </w:pPr>
      <w:rPr>
        <w:rFonts w:hint="default"/>
      </w:rPr>
    </w:lvl>
    <w:lvl w:ilvl="4">
      <w:start w:val="1"/>
      <w:numFmt w:val="bullet"/>
      <w:lvlText w:val="•"/>
      <w:lvlJc w:val="left"/>
      <w:pPr>
        <w:tabs>
          <w:tab w:val="num" w:pos="0"/>
        </w:tabs>
        <w:ind w:left="0" w:firstLine="0"/>
      </w:pPr>
      <w:rPr>
        <w:rFonts w:hint="default"/>
      </w:rPr>
    </w:lvl>
    <w:lvl w:ilvl="5">
      <w:start w:val="1"/>
      <w:numFmt w:val="bullet"/>
      <w:lvlText w:val="•"/>
      <w:lvlJc w:val="left"/>
      <w:pPr>
        <w:tabs>
          <w:tab w:val="num" w:pos="0"/>
        </w:tabs>
        <w:ind w:left="0" w:firstLine="0"/>
      </w:pPr>
      <w:rPr>
        <w:rFonts w:hint="default"/>
      </w:rPr>
    </w:lvl>
    <w:lvl w:ilvl="6">
      <w:start w:val="1"/>
      <w:numFmt w:val="bullet"/>
      <w:lvlText w:val="•"/>
      <w:lvlJc w:val="left"/>
      <w:pPr>
        <w:tabs>
          <w:tab w:val="num" w:pos="0"/>
        </w:tabs>
        <w:ind w:left="0" w:firstLine="0"/>
      </w:pPr>
      <w:rPr>
        <w:rFonts w:hint="default"/>
      </w:rPr>
    </w:lvl>
    <w:lvl w:ilvl="7">
      <w:start w:val="1"/>
      <w:numFmt w:val="bullet"/>
      <w:lvlText w:val="•"/>
      <w:lvlJc w:val="left"/>
      <w:pPr>
        <w:tabs>
          <w:tab w:val="num" w:pos="0"/>
        </w:tabs>
        <w:ind w:left="0" w:firstLine="0"/>
      </w:pPr>
      <w:rPr>
        <w:rFonts w:hint="default"/>
      </w:rPr>
    </w:lvl>
    <w:lvl w:ilvl="8">
      <w:start w:val="1"/>
      <w:numFmt w:val="bullet"/>
      <w:lvlText w:val="•"/>
      <w:lvlJc w:val="left"/>
      <w:pPr>
        <w:tabs>
          <w:tab w:val="num" w:pos="0"/>
        </w:tabs>
        <w:ind w:left="0" w:firstLine="0"/>
      </w:pPr>
      <w:rPr>
        <w:rFonts w:hint="default"/>
      </w:rPr>
    </w:lvl>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29D1C02"/>
    <w:multiLevelType w:val="multilevel"/>
    <w:tmpl w:val="A2728BA2"/>
    <w:lvl w:ilvl="0">
      <w:start w:val="5"/>
      <w:numFmt w:val="decimal"/>
      <w:lvlText w:val="%1"/>
      <w:lvlJc w:val="left"/>
      <w:pPr>
        <w:ind w:hanging="720"/>
      </w:pPr>
      <w:rPr>
        <w:rFonts w:cs="Times New Roman" w:hint="default"/>
      </w:rPr>
    </w:lvl>
    <w:lvl w:ilvl="1">
      <w:start w:val="4"/>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10F3B2F"/>
    <w:multiLevelType w:val="multilevel"/>
    <w:tmpl w:val="33743C5C"/>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6867CB4"/>
    <w:multiLevelType w:val="multilevel"/>
    <w:tmpl w:val="10529B5A"/>
    <w:lvl w:ilvl="0">
      <w:start w:val="5"/>
      <w:numFmt w:val="decimal"/>
      <w:lvlText w:val="%1"/>
      <w:lvlJc w:val="left"/>
      <w:pPr>
        <w:tabs>
          <w:tab w:val="num" w:pos="0"/>
        </w:tabs>
        <w:ind w:left="0" w:hanging="720"/>
      </w:pPr>
      <w:rPr>
        <w:rFonts w:cs="Times New Roman" w:hint="default"/>
      </w:rPr>
    </w:lvl>
    <w:lvl w:ilvl="1">
      <w:start w:val="4"/>
      <w:numFmt w:val="decimal"/>
      <w:lvlText w:val="%1.%2"/>
      <w:lvlJc w:val="left"/>
      <w:pPr>
        <w:tabs>
          <w:tab w:val="num" w:pos="0"/>
        </w:tabs>
        <w:ind w:left="0" w:hanging="720"/>
      </w:pPr>
      <w:rPr>
        <w:rFonts w:ascii="Arial" w:eastAsia="Times New Roman" w:hAnsi="Arial" w:cs="Times New Roman" w:hint="default"/>
        <w:b/>
        <w:bCs/>
        <w:spacing w:val="1"/>
        <w:w w:val="99"/>
        <w:sz w:val="24"/>
        <w:szCs w:val="24"/>
      </w:rPr>
    </w:lvl>
    <w:lvl w:ilvl="2">
      <w:start w:val="1"/>
      <w:numFmt w:val="decimal"/>
      <w:lvlText w:val="%1.5.%3"/>
      <w:lvlJc w:val="left"/>
      <w:pPr>
        <w:tabs>
          <w:tab w:val="num" w:pos="0"/>
        </w:tabs>
        <w:ind w:left="0" w:hanging="708"/>
      </w:pPr>
      <w:rPr>
        <w:rFonts w:ascii="Arial" w:eastAsia="Times New Roman" w:hAnsi="Arial" w:cs="Times New Roman" w:hint="default"/>
        <w:spacing w:val="1"/>
        <w:w w:val="99"/>
        <w:sz w:val="24"/>
        <w:szCs w:val="24"/>
      </w:rPr>
    </w:lvl>
    <w:lvl w:ilvl="3">
      <w:start w:val="1"/>
      <w:numFmt w:val="bullet"/>
      <w:lvlText w:val="•"/>
      <w:lvlJc w:val="left"/>
      <w:pPr>
        <w:tabs>
          <w:tab w:val="num" w:pos="0"/>
        </w:tabs>
        <w:ind w:left="0" w:firstLine="0"/>
      </w:pPr>
      <w:rPr>
        <w:rFonts w:hint="default"/>
      </w:rPr>
    </w:lvl>
    <w:lvl w:ilvl="4">
      <w:start w:val="1"/>
      <w:numFmt w:val="bullet"/>
      <w:lvlText w:val="•"/>
      <w:lvlJc w:val="left"/>
      <w:pPr>
        <w:tabs>
          <w:tab w:val="num" w:pos="0"/>
        </w:tabs>
        <w:ind w:left="0" w:firstLine="0"/>
      </w:pPr>
      <w:rPr>
        <w:rFonts w:hint="default"/>
      </w:rPr>
    </w:lvl>
    <w:lvl w:ilvl="5">
      <w:start w:val="1"/>
      <w:numFmt w:val="bullet"/>
      <w:lvlText w:val="•"/>
      <w:lvlJc w:val="left"/>
      <w:pPr>
        <w:tabs>
          <w:tab w:val="num" w:pos="0"/>
        </w:tabs>
        <w:ind w:left="0" w:firstLine="0"/>
      </w:pPr>
      <w:rPr>
        <w:rFonts w:hint="default"/>
      </w:rPr>
    </w:lvl>
    <w:lvl w:ilvl="6">
      <w:start w:val="1"/>
      <w:numFmt w:val="bullet"/>
      <w:lvlText w:val="•"/>
      <w:lvlJc w:val="left"/>
      <w:pPr>
        <w:tabs>
          <w:tab w:val="num" w:pos="0"/>
        </w:tabs>
        <w:ind w:left="0" w:firstLine="0"/>
      </w:pPr>
      <w:rPr>
        <w:rFonts w:hint="default"/>
      </w:rPr>
    </w:lvl>
    <w:lvl w:ilvl="7">
      <w:start w:val="1"/>
      <w:numFmt w:val="bullet"/>
      <w:lvlText w:val="•"/>
      <w:lvlJc w:val="left"/>
      <w:pPr>
        <w:tabs>
          <w:tab w:val="num" w:pos="0"/>
        </w:tabs>
        <w:ind w:left="0" w:firstLine="0"/>
      </w:pPr>
      <w:rPr>
        <w:rFonts w:hint="default"/>
      </w:rPr>
    </w:lvl>
    <w:lvl w:ilvl="8">
      <w:start w:val="1"/>
      <w:numFmt w:val="bullet"/>
      <w:lvlText w:val="•"/>
      <w:lvlJc w:val="left"/>
      <w:pPr>
        <w:tabs>
          <w:tab w:val="num" w:pos="0"/>
        </w:tabs>
        <w:ind w:left="0" w:firstLine="0"/>
      </w:pPr>
      <w:rPr>
        <w:rFonts w:hint="default"/>
      </w:rPr>
    </w:lvl>
  </w:abstractNum>
  <w:abstractNum w:abstractNumId="21"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B3715A1"/>
    <w:multiLevelType w:val="multilevel"/>
    <w:tmpl w:val="040C001D"/>
    <w:numStyleLink w:val="SOPListeHyrarchise"/>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661544126">
    <w:abstractNumId w:val="15"/>
  </w:num>
  <w:num w:numId="2" w16cid:durableId="893849686">
    <w:abstractNumId w:val="23"/>
  </w:num>
  <w:num w:numId="3" w16cid:durableId="1905562">
    <w:abstractNumId w:val="26"/>
  </w:num>
  <w:num w:numId="4" w16cid:durableId="1996176972">
    <w:abstractNumId w:val="4"/>
  </w:num>
  <w:num w:numId="5" w16cid:durableId="1830368012">
    <w:abstractNumId w:val="5"/>
  </w:num>
  <w:num w:numId="6" w16cid:durableId="1192114620">
    <w:abstractNumId w:val="6"/>
  </w:num>
  <w:num w:numId="7" w16cid:durableId="549652283">
    <w:abstractNumId w:val="7"/>
  </w:num>
  <w:num w:numId="8" w16cid:durableId="494759169">
    <w:abstractNumId w:val="9"/>
  </w:num>
  <w:num w:numId="9" w16cid:durableId="1863517823">
    <w:abstractNumId w:val="0"/>
  </w:num>
  <w:num w:numId="10" w16cid:durableId="1044789764">
    <w:abstractNumId w:val="1"/>
  </w:num>
  <w:num w:numId="11" w16cid:durableId="1568689422">
    <w:abstractNumId w:val="2"/>
  </w:num>
  <w:num w:numId="12" w16cid:durableId="552428669">
    <w:abstractNumId w:val="3"/>
  </w:num>
  <w:num w:numId="13" w16cid:durableId="119341907">
    <w:abstractNumId w:val="8"/>
  </w:num>
  <w:num w:numId="14" w16cid:durableId="1744599680">
    <w:abstractNumId w:val="22"/>
  </w:num>
  <w:num w:numId="15" w16cid:durableId="1371606224">
    <w:abstractNumId w:val="21"/>
  </w:num>
  <w:num w:numId="16" w16cid:durableId="727454785">
    <w:abstractNumId w:val="11"/>
  </w:num>
  <w:num w:numId="17" w16cid:durableId="1995252881">
    <w:abstractNumId w:val="10"/>
  </w:num>
  <w:num w:numId="18" w16cid:durableId="1783110462">
    <w:abstractNumId w:val="25"/>
  </w:num>
  <w:num w:numId="19" w16cid:durableId="915749054">
    <w:abstractNumId w:val="16"/>
  </w:num>
  <w:num w:numId="20" w16cid:durableId="1613053997">
    <w:abstractNumId w:val="14"/>
  </w:num>
  <w:num w:numId="21" w16cid:durableId="1666321721">
    <w:abstractNumId w:val="12"/>
  </w:num>
  <w:num w:numId="22" w16cid:durableId="1828739258">
    <w:abstractNumId w:val="24"/>
  </w:num>
  <w:num w:numId="23" w16cid:durableId="1710302931">
    <w:abstractNumId w:val="18"/>
  </w:num>
  <w:num w:numId="24" w16cid:durableId="723404487">
    <w:abstractNumId w:val="13"/>
  </w:num>
  <w:num w:numId="25" w16cid:durableId="1197305145">
    <w:abstractNumId w:val="19"/>
  </w:num>
  <w:num w:numId="26" w16cid:durableId="802188943">
    <w:abstractNumId w:val="17"/>
  </w:num>
  <w:num w:numId="27" w16cid:durableId="5771321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18"/>
    <w:rsid w:val="00012A3D"/>
    <w:rsid w:val="0002610A"/>
    <w:rsid w:val="000731F7"/>
    <w:rsid w:val="00097218"/>
    <w:rsid w:val="000B71EA"/>
    <w:rsid w:val="00126E6C"/>
    <w:rsid w:val="00226DCF"/>
    <w:rsid w:val="00283978"/>
    <w:rsid w:val="0028581A"/>
    <w:rsid w:val="002B2D6B"/>
    <w:rsid w:val="002B5BA5"/>
    <w:rsid w:val="002B5EA6"/>
    <w:rsid w:val="002C6B9A"/>
    <w:rsid w:val="002E18ED"/>
    <w:rsid w:val="002E4385"/>
    <w:rsid w:val="002E750D"/>
    <w:rsid w:val="0030269A"/>
    <w:rsid w:val="00302BF0"/>
    <w:rsid w:val="0030386E"/>
    <w:rsid w:val="0032222C"/>
    <w:rsid w:val="00381E3D"/>
    <w:rsid w:val="003854EF"/>
    <w:rsid w:val="00386EA4"/>
    <w:rsid w:val="003C234B"/>
    <w:rsid w:val="003C7F7E"/>
    <w:rsid w:val="00407B78"/>
    <w:rsid w:val="004374F7"/>
    <w:rsid w:val="00444D39"/>
    <w:rsid w:val="00460AB0"/>
    <w:rsid w:val="004C6555"/>
    <w:rsid w:val="004E33B5"/>
    <w:rsid w:val="00542A47"/>
    <w:rsid w:val="00565BEA"/>
    <w:rsid w:val="0059613B"/>
    <w:rsid w:val="005A11F5"/>
    <w:rsid w:val="005E05F5"/>
    <w:rsid w:val="00642308"/>
    <w:rsid w:val="00660163"/>
    <w:rsid w:val="006679F4"/>
    <w:rsid w:val="006A4376"/>
    <w:rsid w:val="006C1D06"/>
    <w:rsid w:val="00707D1A"/>
    <w:rsid w:val="00753239"/>
    <w:rsid w:val="00756C58"/>
    <w:rsid w:val="007F0C08"/>
    <w:rsid w:val="00802F4C"/>
    <w:rsid w:val="00855C90"/>
    <w:rsid w:val="00861AE8"/>
    <w:rsid w:val="008729A6"/>
    <w:rsid w:val="008A587F"/>
    <w:rsid w:val="008C1B71"/>
    <w:rsid w:val="008C6356"/>
    <w:rsid w:val="008E5297"/>
    <w:rsid w:val="008E6886"/>
    <w:rsid w:val="008F4B93"/>
    <w:rsid w:val="009754E0"/>
    <w:rsid w:val="00986A54"/>
    <w:rsid w:val="009E48B9"/>
    <w:rsid w:val="00A26CA7"/>
    <w:rsid w:val="00A313CE"/>
    <w:rsid w:val="00A66257"/>
    <w:rsid w:val="00A967C9"/>
    <w:rsid w:val="00B0575C"/>
    <w:rsid w:val="00B1020C"/>
    <w:rsid w:val="00B276A2"/>
    <w:rsid w:val="00B43B4B"/>
    <w:rsid w:val="00B5373C"/>
    <w:rsid w:val="00B62D76"/>
    <w:rsid w:val="00B66BD6"/>
    <w:rsid w:val="00B66EA8"/>
    <w:rsid w:val="00BC44BB"/>
    <w:rsid w:val="00C263D6"/>
    <w:rsid w:val="00C60DA8"/>
    <w:rsid w:val="00C74DD8"/>
    <w:rsid w:val="00CE63B7"/>
    <w:rsid w:val="00D14E15"/>
    <w:rsid w:val="00DC2BA3"/>
    <w:rsid w:val="00E428CC"/>
    <w:rsid w:val="00E6377A"/>
    <w:rsid w:val="00E83DF3"/>
    <w:rsid w:val="00EB794D"/>
    <w:rsid w:val="00EC101E"/>
    <w:rsid w:val="00EC34C7"/>
    <w:rsid w:val="00EE1904"/>
    <w:rsid w:val="00F13210"/>
    <w:rsid w:val="00F443B2"/>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E3AF4"/>
  <w14:defaultImageDpi w14:val="32767"/>
  <w15:chartTrackingRefBased/>
  <w15:docId w15:val="{F8BDCD04-1160-4866-B100-9C4B25E0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707D1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F13210"/>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F13210"/>
    <w:rPr>
      <w:rFonts w:ascii="Arial" w:eastAsia="Times New Roman" w:hAnsi="Arial" w:cs="Times New Roman"/>
      <w:lang w:val="en-US"/>
    </w:rPr>
  </w:style>
  <w:style w:type="paragraph" w:customStyle="1" w:styleId="Paragraphedeliste1">
    <w:name w:val="Paragraphe de liste1"/>
    <w:basedOn w:val="Normal"/>
    <w:rsid w:val="00F13210"/>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F13210"/>
    <w:pPr>
      <w:widowControl w:val="0"/>
      <w:spacing w:before="0" w:after="0"/>
      <w:jc w:val="left"/>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ACF4-0358-47C7-B7B9-9E1FEAAD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D4F30-1BBF-4BD2-9B11-0F8B5A979836}">
  <ds:schemaRefs>
    <ds:schemaRef ds:uri="http://schemas.microsoft.com/sharepoint/v3/contenttype/forms"/>
  </ds:schemaRefs>
</ds:datastoreItem>
</file>

<file path=customXml/itemProps3.xml><?xml version="1.0" encoding="utf-8"?>
<ds:datastoreItem xmlns:ds="http://schemas.openxmlformats.org/officeDocument/2006/customXml" ds:itemID="{890ECFE6-820D-4F89-AF95-E3FE338F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90</TotalTime>
  <Pages>1</Pages>
  <Words>981</Words>
  <Characters>5401</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24</cp:revision>
  <dcterms:created xsi:type="dcterms:W3CDTF">2019-06-06T12:08:00Z</dcterms:created>
  <dcterms:modified xsi:type="dcterms:W3CDTF">2023-11-21T21:16:00Z</dcterms:modified>
</cp:coreProperties>
</file>