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C60B8" w14:textId="77777777" w:rsidR="0030269A" w:rsidRPr="00CF7173" w:rsidRDefault="0030269A" w:rsidP="00EE11DD">
      <w:pPr>
        <w:spacing w:before="0" w:after="0"/>
        <w:rPr>
          <w:lang w:val="en-CA"/>
        </w:rPr>
      </w:pPr>
    </w:p>
    <w:tbl>
      <w:tblPr>
        <w:tblStyle w:val="Grilledutableau"/>
        <w:tblW w:w="0" w:type="auto"/>
        <w:tblLook w:val="04A0" w:firstRow="1" w:lastRow="0" w:firstColumn="1" w:lastColumn="0" w:noHBand="0" w:noVBand="1"/>
      </w:tblPr>
      <w:tblGrid>
        <w:gridCol w:w="3325"/>
        <w:gridCol w:w="6745"/>
      </w:tblGrid>
      <w:tr w:rsidR="0030269A" w:rsidRPr="00CF7173" w14:paraId="69E036AA" w14:textId="77777777" w:rsidTr="00012A3D">
        <w:tc>
          <w:tcPr>
            <w:tcW w:w="3325" w:type="dxa"/>
          </w:tcPr>
          <w:p w14:paraId="76C735E7" w14:textId="77777777" w:rsidR="0030269A" w:rsidRPr="00CF7173" w:rsidRDefault="0030269A" w:rsidP="00EE11DD">
            <w:pPr>
              <w:spacing w:before="60" w:after="60"/>
              <w:rPr>
                <w:b/>
                <w:lang w:val="en-CA"/>
              </w:rPr>
            </w:pPr>
            <w:r w:rsidRPr="00CF7173">
              <w:rPr>
                <w:b/>
                <w:lang w:val="en-CA"/>
              </w:rPr>
              <w:t>Title</w:t>
            </w:r>
          </w:p>
        </w:tc>
        <w:tc>
          <w:tcPr>
            <w:tcW w:w="6745" w:type="dxa"/>
          </w:tcPr>
          <w:p w14:paraId="536BCE8F" w14:textId="77777777" w:rsidR="0030269A" w:rsidRPr="00CF7173" w:rsidRDefault="002F6053" w:rsidP="00EE11DD">
            <w:pPr>
              <w:spacing w:before="60" w:after="60"/>
              <w:rPr>
                <w:lang w:val="en-CA"/>
              </w:rPr>
            </w:pPr>
            <w:r w:rsidRPr="00CF7173">
              <w:rPr>
                <w:lang w:val="en-CA"/>
              </w:rPr>
              <w:t>Composition of the REB</w:t>
            </w:r>
          </w:p>
        </w:tc>
      </w:tr>
      <w:tr w:rsidR="0030269A" w:rsidRPr="00CF7173" w14:paraId="4B49A3DD" w14:textId="77777777" w:rsidTr="00012A3D">
        <w:tc>
          <w:tcPr>
            <w:tcW w:w="3325" w:type="dxa"/>
          </w:tcPr>
          <w:p w14:paraId="599DF51E" w14:textId="77777777" w:rsidR="0030269A" w:rsidRPr="00CF7173" w:rsidRDefault="58B8826E" w:rsidP="00EE11DD">
            <w:pPr>
              <w:spacing w:before="60" w:after="60"/>
              <w:rPr>
                <w:b/>
                <w:bCs/>
                <w:lang w:val="en-CA"/>
              </w:rPr>
            </w:pPr>
            <w:r w:rsidRPr="00CF7173">
              <w:rPr>
                <w:b/>
                <w:bCs/>
                <w:lang w:val="en-CA"/>
              </w:rPr>
              <w:t>SOP Code</w:t>
            </w:r>
          </w:p>
        </w:tc>
        <w:tc>
          <w:tcPr>
            <w:tcW w:w="6745" w:type="dxa"/>
          </w:tcPr>
          <w:p w14:paraId="1BD1662E" w14:textId="2F91E0C4" w:rsidR="0030269A" w:rsidRPr="00CF7173" w:rsidRDefault="58B8826E" w:rsidP="00EE11DD">
            <w:pPr>
              <w:spacing w:before="60" w:after="60"/>
              <w:rPr>
                <w:lang w:val="en-CA"/>
              </w:rPr>
            </w:pPr>
            <w:r w:rsidRPr="00CF7173">
              <w:rPr>
                <w:lang w:val="en-CA"/>
              </w:rPr>
              <w:t>REB</w:t>
            </w:r>
            <w:r w:rsidR="00660163" w:rsidRPr="00CF7173">
              <w:rPr>
                <w:lang w:val="en-CA"/>
              </w:rPr>
              <w:t>-</w:t>
            </w:r>
            <w:r w:rsidRPr="00CF7173">
              <w:rPr>
                <w:lang w:val="en-CA"/>
              </w:rPr>
              <w:t>SOP</w:t>
            </w:r>
            <w:r w:rsidR="00012A3D" w:rsidRPr="00CF7173">
              <w:rPr>
                <w:lang w:val="en-CA"/>
              </w:rPr>
              <w:t xml:space="preserve"> </w:t>
            </w:r>
            <w:r w:rsidR="002F6053" w:rsidRPr="00CF7173">
              <w:rPr>
                <w:lang w:val="en-CA"/>
              </w:rPr>
              <w:t>201</w:t>
            </w:r>
            <w:r w:rsidR="00B721B7" w:rsidRPr="00CF7173">
              <w:rPr>
                <w:lang w:val="en-CA"/>
              </w:rPr>
              <w:t>-002</w:t>
            </w:r>
          </w:p>
        </w:tc>
      </w:tr>
      <w:tr w:rsidR="0030269A" w:rsidRPr="00CF7173" w14:paraId="2BC54441" w14:textId="77777777" w:rsidTr="00012A3D">
        <w:tc>
          <w:tcPr>
            <w:tcW w:w="3325" w:type="dxa"/>
          </w:tcPr>
          <w:p w14:paraId="6320351E" w14:textId="77777777" w:rsidR="0030269A" w:rsidRPr="00CF7173" w:rsidRDefault="0030269A" w:rsidP="00EE11DD">
            <w:pPr>
              <w:spacing w:before="60" w:after="60"/>
              <w:rPr>
                <w:b/>
                <w:lang w:val="en-CA"/>
              </w:rPr>
            </w:pPr>
            <w:r w:rsidRPr="00CF7173">
              <w:rPr>
                <w:b/>
                <w:lang w:val="en-CA"/>
              </w:rPr>
              <w:t>N2/CAREB SOP CODE</w:t>
            </w:r>
          </w:p>
        </w:tc>
        <w:tc>
          <w:tcPr>
            <w:tcW w:w="6745" w:type="dxa"/>
          </w:tcPr>
          <w:p w14:paraId="65A2A5F3" w14:textId="7E24B323" w:rsidR="0030269A" w:rsidRPr="00CF7173" w:rsidRDefault="0030269A" w:rsidP="00EE11DD">
            <w:pPr>
              <w:spacing w:before="60" w:after="60"/>
              <w:rPr>
                <w:lang w:val="en-CA"/>
              </w:rPr>
            </w:pPr>
            <w:r w:rsidRPr="00CF7173">
              <w:rPr>
                <w:lang w:val="en-CA"/>
              </w:rPr>
              <w:t>SOP</w:t>
            </w:r>
            <w:r w:rsidR="005A11F5" w:rsidRPr="00CF7173">
              <w:rPr>
                <w:lang w:val="en-CA"/>
              </w:rPr>
              <w:t xml:space="preserve"> </w:t>
            </w:r>
            <w:r w:rsidR="002F6053" w:rsidRPr="00CF7173">
              <w:rPr>
                <w:lang w:val="en-CA"/>
              </w:rPr>
              <w:t>201</w:t>
            </w:r>
            <w:r w:rsidR="00B721B7" w:rsidRPr="00CF7173">
              <w:rPr>
                <w:lang w:val="en-CA"/>
              </w:rPr>
              <w:t>-003</w:t>
            </w:r>
          </w:p>
        </w:tc>
      </w:tr>
      <w:tr w:rsidR="0030269A" w:rsidRPr="00CF7173" w14:paraId="0C77FE26" w14:textId="77777777" w:rsidTr="00012A3D">
        <w:tc>
          <w:tcPr>
            <w:tcW w:w="3325" w:type="dxa"/>
          </w:tcPr>
          <w:p w14:paraId="49D83772" w14:textId="77777777" w:rsidR="0030269A" w:rsidRPr="00CF7173" w:rsidRDefault="0030269A" w:rsidP="00EE11DD">
            <w:pPr>
              <w:spacing w:before="60" w:after="60"/>
              <w:rPr>
                <w:b/>
                <w:lang w:val="en-CA"/>
              </w:rPr>
            </w:pPr>
            <w:r w:rsidRPr="00CF7173">
              <w:rPr>
                <w:b/>
                <w:lang w:val="en-CA"/>
              </w:rPr>
              <w:t>Effective Date</w:t>
            </w:r>
          </w:p>
        </w:tc>
        <w:tc>
          <w:tcPr>
            <w:tcW w:w="6745" w:type="dxa"/>
          </w:tcPr>
          <w:p w14:paraId="06D3F559" w14:textId="77777777" w:rsidR="0030269A" w:rsidRPr="00CF7173" w:rsidRDefault="0030269A" w:rsidP="00EE11DD">
            <w:pPr>
              <w:spacing w:before="60" w:after="60"/>
              <w:rPr>
                <w:lang w:val="en-CA"/>
              </w:rPr>
            </w:pPr>
            <w:r w:rsidRPr="00CF7173">
              <w:rPr>
                <w:highlight w:val="yellow"/>
                <w:lang w:val="en-CA"/>
              </w:rPr>
              <w:t>YYYY-MM-DD</w:t>
            </w:r>
          </w:p>
        </w:tc>
      </w:tr>
    </w:tbl>
    <w:p w14:paraId="725DAEB9" w14:textId="77777777" w:rsidR="0030269A" w:rsidRPr="00CF7173" w:rsidRDefault="0030269A" w:rsidP="00EE11DD">
      <w:pPr>
        <w:rPr>
          <w:lang w:val="en-CA"/>
        </w:rPr>
      </w:pPr>
    </w:p>
    <w:tbl>
      <w:tblPr>
        <w:tblStyle w:val="Grilledutableau"/>
        <w:tblW w:w="0" w:type="auto"/>
        <w:tblLook w:val="04A0" w:firstRow="1" w:lastRow="0" w:firstColumn="1" w:lastColumn="0" w:noHBand="0" w:noVBand="1"/>
      </w:tblPr>
      <w:tblGrid>
        <w:gridCol w:w="3325"/>
        <w:gridCol w:w="4467"/>
        <w:gridCol w:w="2206"/>
      </w:tblGrid>
      <w:tr w:rsidR="0030269A" w:rsidRPr="00CF7173" w14:paraId="2C9DCF74" w14:textId="77777777" w:rsidTr="00012A3D">
        <w:tc>
          <w:tcPr>
            <w:tcW w:w="3325" w:type="dxa"/>
            <w:shd w:val="clear" w:color="auto" w:fill="D9D9D9" w:themeFill="background1" w:themeFillShade="D9"/>
          </w:tcPr>
          <w:p w14:paraId="0F04F4E2" w14:textId="77777777" w:rsidR="0030269A" w:rsidRPr="00CF7173" w:rsidRDefault="0030269A" w:rsidP="00EE11DD">
            <w:pPr>
              <w:spacing w:before="60" w:after="60"/>
              <w:jc w:val="center"/>
              <w:rPr>
                <w:b/>
                <w:lang w:val="en-CA"/>
              </w:rPr>
            </w:pPr>
            <w:r w:rsidRPr="00CF7173">
              <w:rPr>
                <w:b/>
                <w:lang w:val="en-CA"/>
              </w:rPr>
              <w:t>Status</w:t>
            </w:r>
          </w:p>
        </w:tc>
        <w:tc>
          <w:tcPr>
            <w:tcW w:w="4467" w:type="dxa"/>
            <w:shd w:val="clear" w:color="auto" w:fill="D9D9D9" w:themeFill="background1" w:themeFillShade="D9"/>
          </w:tcPr>
          <w:p w14:paraId="4C333760" w14:textId="77777777" w:rsidR="0030269A" w:rsidRPr="00CF7173" w:rsidRDefault="0030269A" w:rsidP="00EE11DD">
            <w:pPr>
              <w:spacing w:before="60" w:after="60"/>
              <w:jc w:val="center"/>
              <w:rPr>
                <w:b/>
                <w:lang w:val="en-CA"/>
              </w:rPr>
            </w:pPr>
            <w:r w:rsidRPr="00CF7173">
              <w:rPr>
                <w:b/>
                <w:lang w:val="en-CA"/>
              </w:rPr>
              <w:t>Name and Title</w:t>
            </w:r>
          </w:p>
        </w:tc>
        <w:tc>
          <w:tcPr>
            <w:tcW w:w="2206" w:type="dxa"/>
            <w:shd w:val="clear" w:color="auto" w:fill="D9D9D9" w:themeFill="background1" w:themeFillShade="D9"/>
          </w:tcPr>
          <w:p w14:paraId="63E03D55" w14:textId="77777777" w:rsidR="0030269A" w:rsidRPr="00CF7173" w:rsidRDefault="0030269A" w:rsidP="00EE11DD">
            <w:pPr>
              <w:spacing w:before="60" w:after="60"/>
              <w:jc w:val="center"/>
              <w:rPr>
                <w:b/>
                <w:lang w:val="en-CA"/>
              </w:rPr>
            </w:pPr>
            <w:r w:rsidRPr="00CF7173">
              <w:rPr>
                <w:b/>
                <w:lang w:val="en-CA"/>
              </w:rPr>
              <w:t>Date</w:t>
            </w:r>
          </w:p>
        </w:tc>
      </w:tr>
      <w:tr w:rsidR="0030269A" w:rsidRPr="00CF7173" w14:paraId="0831878F" w14:textId="77777777" w:rsidTr="00012A3D">
        <w:tc>
          <w:tcPr>
            <w:tcW w:w="3325" w:type="dxa"/>
          </w:tcPr>
          <w:p w14:paraId="3D2C6C5C" w14:textId="77777777" w:rsidR="0030269A" w:rsidRPr="00CF7173" w:rsidRDefault="00012A3D" w:rsidP="00EE11DD">
            <w:pPr>
              <w:spacing w:before="60" w:after="60"/>
              <w:jc w:val="left"/>
              <w:rPr>
                <w:b/>
                <w:i/>
                <w:highlight w:val="yellow"/>
                <w:lang w:val="en-CA"/>
              </w:rPr>
            </w:pPr>
            <w:r w:rsidRPr="00CF7173">
              <w:rPr>
                <w:b/>
                <w:i/>
                <w:lang w:val="en-CA"/>
              </w:rPr>
              <w:t>Author of Harmonized Template</w:t>
            </w:r>
          </w:p>
        </w:tc>
        <w:tc>
          <w:tcPr>
            <w:tcW w:w="4467" w:type="dxa"/>
          </w:tcPr>
          <w:p w14:paraId="6C45C961" w14:textId="1113E8AB" w:rsidR="0030269A" w:rsidRPr="00CF7173" w:rsidRDefault="00B721B7" w:rsidP="00EE11DD">
            <w:pPr>
              <w:spacing w:before="60" w:after="60"/>
              <w:rPr>
                <w:lang w:val="en-CA"/>
              </w:rPr>
            </w:pPr>
            <w:r w:rsidRPr="00CF7173">
              <w:rPr>
                <w:lang w:val="en-CA"/>
              </w:rPr>
              <w:t>REB</w:t>
            </w:r>
            <w:r w:rsidR="0052590A" w:rsidRPr="00CF7173">
              <w:rPr>
                <w:lang w:val="en-CA"/>
              </w:rPr>
              <w:t xml:space="preserve"> </w:t>
            </w:r>
            <w:r w:rsidR="00012A3D" w:rsidRPr="00CF7173">
              <w:rPr>
                <w:lang w:val="en-CA"/>
              </w:rPr>
              <w:t>SOPs</w:t>
            </w:r>
            <w:r w:rsidRPr="00CF7173">
              <w:rPr>
                <w:lang w:val="en-CA"/>
              </w:rPr>
              <w:t xml:space="preserve"> developed by CATALIS Network</w:t>
            </w:r>
          </w:p>
        </w:tc>
        <w:tc>
          <w:tcPr>
            <w:tcW w:w="2206" w:type="dxa"/>
          </w:tcPr>
          <w:p w14:paraId="4C4B84C6" w14:textId="618D011B" w:rsidR="0030269A" w:rsidRPr="00CF7173" w:rsidRDefault="00B721B7" w:rsidP="00EE11DD">
            <w:pPr>
              <w:spacing w:before="60" w:after="60"/>
              <w:jc w:val="center"/>
              <w:rPr>
                <w:lang w:val="en-CA"/>
              </w:rPr>
            </w:pPr>
            <w:r w:rsidRPr="00CF7173">
              <w:rPr>
                <w:lang w:val="en-CA"/>
              </w:rPr>
              <w:t>2023-05-01</w:t>
            </w:r>
          </w:p>
        </w:tc>
      </w:tr>
      <w:tr w:rsidR="005A11F5" w:rsidRPr="00CF7173" w14:paraId="0F74A74D" w14:textId="77777777" w:rsidTr="00012A3D">
        <w:tc>
          <w:tcPr>
            <w:tcW w:w="3325" w:type="dxa"/>
          </w:tcPr>
          <w:p w14:paraId="6F2A3471" w14:textId="77777777" w:rsidR="005A11F5" w:rsidRPr="00CF7173" w:rsidRDefault="005A11F5" w:rsidP="00EE11DD">
            <w:pPr>
              <w:spacing w:before="60" w:after="60"/>
              <w:rPr>
                <w:b/>
                <w:i/>
                <w:highlight w:val="yellow"/>
                <w:lang w:val="en-CA"/>
              </w:rPr>
            </w:pPr>
            <w:r w:rsidRPr="00CF7173">
              <w:rPr>
                <w:b/>
                <w:i/>
                <w:lang w:val="en-CA"/>
              </w:rPr>
              <w:t>Approved</w:t>
            </w:r>
          </w:p>
        </w:tc>
        <w:tc>
          <w:tcPr>
            <w:tcW w:w="4467" w:type="dxa"/>
          </w:tcPr>
          <w:p w14:paraId="412AB56F" w14:textId="665AE219" w:rsidR="005A11F5" w:rsidRPr="00CF7173" w:rsidRDefault="008F4B93" w:rsidP="00EE11DD">
            <w:pPr>
              <w:spacing w:before="60" w:after="60"/>
              <w:rPr>
                <w:lang w:val="en-CA"/>
              </w:rPr>
            </w:pPr>
            <w:r w:rsidRPr="00CF7173">
              <w:rPr>
                <w:lang w:val="en-CA"/>
              </w:rPr>
              <w:t>REB Full Board Meeting XXX</w:t>
            </w:r>
          </w:p>
        </w:tc>
        <w:tc>
          <w:tcPr>
            <w:tcW w:w="2206" w:type="dxa"/>
          </w:tcPr>
          <w:p w14:paraId="1E7F29D6" w14:textId="77777777" w:rsidR="005A11F5" w:rsidRPr="00CF7173" w:rsidRDefault="005A11F5" w:rsidP="00EE11DD">
            <w:pPr>
              <w:spacing w:before="60" w:after="60"/>
              <w:jc w:val="center"/>
              <w:rPr>
                <w:lang w:val="en-CA"/>
              </w:rPr>
            </w:pPr>
            <w:r w:rsidRPr="00CF7173">
              <w:rPr>
                <w:lang w:val="en-CA"/>
              </w:rPr>
              <w:t>YYYY-MM-DD</w:t>
            </w:r>
          </w:p>
        </w:tc>
      </w:tr>
      <w:tr w:rsidR="005A11F5" w:rsidRPr="00CF7173" w14:paraId="4F8EFF06" w14:textId="77777777" w:rsidTr="00012A3D">
        <w:tc>
          <w:tcPr>
            <w:tcW w:w="3325" w:type="dxa"/>
          </w:tcPr>
          <w:p w14:paraId="0942DD10" w14:textId="373DC411" w:rsidR="005A11F5" w:rsidRPr="00CF7173" w:rsidRDefault="00B721B7" w:rsidP="00EE11DD">
            <w:pPr>
              <w:spacing w:before="60" w:after="60"/>
              <w:rPr>
                <w:b/>
                <w:i/>
                <w:highlight w:val="yellow"/>
                <w:lang w:val="en-CA"/>
              </w:rPr>
            </w:pPr>
            <w:r w:rsidRPr="00CF7173">
              <w:rPr>
                <w:b/>
                <w:i/>
                <w:lang w:val="en-CA"/>
              </w:rPr>
              <w:t>[Approved] or [</w:t>
            </w:r>
            <w:r w:rsidR="005A11F5" w:rsidRPr="00CF7173">
              <w:rPr>
                <w:b/>
                <w:i/>
                <w:lang w:val="en-CA"/>
              </w:rPr>
              <w:t>Acknowledge receipt</w:t>
            </w:r>
            <w:r w:rsidRPr="00CF7173">
              <w:rPr>
                <w:b/>
                <w:i/>
                <w:lang w:val="en-CA"/>
              </w:rPr>
              <w:t>]</w:t>
            </w:r>
          </w:p>
        </w:tc>
        <w:tc>
          <w:tcPr>
            <w:tcW w:w="4467" w:type="dxa"/>
          </w:tcPr>
          <w:p w14:paraId="6527691B" w14:textId="1A3A3865" w:rsidR="005A11F5" w:rsidRPr="00CF7173" w:rsidRDefault="00E428CC" w:rsidP="00EE11DD">
            <w:pPr>
              <w:spacing w:before="60" w:after="60"/>
              <w:rPr>
                <w:lang w:val="en-CA"/>
              </w:rPr>
            </w:pPr>
            <w:r w:rsidRPr="00CF7173">
              <w:rPr>
                <w:lang w:val="en-CA"/>
              </w:rPr>
              <w:t xml:space="preserve">CA </w:t>
            </w:r>
            <w:r w:rsidR="005A11F5" w:rsidRPr="00CF7173">
              <w:rPr>
                <w:lang w:val="en-CA"/>
              </w:rPr>
              <w:t>XXX</w:t>
            </w:r>
          </w:p>
        </w:tc>
        <w:tc>
          <w:tcPr>
            <w:tcW w:w="2206" w:type="dxa"/>
          </w:tcPr>
          <w:p w14:paraId="33F816C9" w14:textId="77777777" w:rsidR="005A11F5" w:rsidRPr="00CF7173" w:rsidRDefault="005A11F5" w:rsidP="00EE11DD">
            <w:pPr>
              <w:spacing w:before="60" w:after="60"/>
              <w:jc w:val="center"/>
              <w:rPr>
                <w:lang w:val="en-CA"/>
              </w:rPr>
            </w:pPr>
            <w:r w:rsidRPr="00CF7173">
              <w:rPr>
                <w:lang w:val="en-CA"/>
              </w:rPr>
              <w:t>YYYY-MM-DD</w:t>
            </w:r>
          </w:p>
        </w:tc>
      </w:tr>
    </w:tbl>
    <w:p w14:paraId="3BDA797F" w14:textId="77777777" w:rsidR="002E18ED" w:rsidRPr="00CF7173" w:rsidRDefault="002E18ED" w:rsidP="00EE11DD">
      <w:pPr>
        <w:rPr>
          <w:b/>
          <w:lang w:val="en-CA"/>
        </w:rPr>
      </w:pPr>
    </w:p>
    <w:p w14:paraId="4773E1B1" w14:textId="77777777" w:rsidR="0030269A" w:rsidRPr="00CF7173" w:rsidRDefault="0030269A" w:rsidP="00EE11DD">
      <w:pPr>
        <w:rPr>
          <w:b/>
          <w:lang w:val="en-CA"/>
        </w:rPr>
      </w:pPr>
      <w:r w:rsidRPr="00CF7173">
        <w:rPr>
          <w:b/>
          <w:lang w:val="en-CA"/>
        </w:rPr>
        <w:t>Table of Content</w:t>
      </w:r>
    </w:p>
    <w:p w14:paraId="024A397A" w14:textId="01BCB172" w:rsidR="00CF7173" w:rsidRDefault="0030269A">
      <w:pPr>
        <w:pStyle w:val="TM1"/>
        <w:rPr>
          <w:kern w:val="2"/>
          <w:sz w:val="22"/>
          <w:szCs w:val="22"/>
          <w:lang w:eastAsia="fr-CA"/>
          <w14:ligatures w14:val="standardContextual"/>
        </w:rPr>
      </w:pPr>
      <w:r w:rsidRPr="00CF7173">
        <w:rPr>
          <w:noProof w:val="0"/>
          <w:lang w:val="en-CA"/>
        </w:rPr>
        <w:fldChar w:fldCharType="begin"/>
      </w:r>
      <w:r w:rsidRPr="00CF7173">
        <w:rPr>
          <w:noProof w:val="0"/>
          <w:lang w:val="en-CA"/>
        </w:rPr>
        <w:instrText xml:space="preserve"> TOC \o "1-2" \u </w:instrText>
      </w:r>
      <w:r w:rsidRPr="00CF7173">
        <w:rPr>
          <w:noProof w:val="0"/>
          <w:lang w:val="en-CA"/>
        </w:rPr>
        <w:fldChar w:fldCharType="separate"/>
      </w:r>
      <w:r w:rsidR="00CF7173">
        <w:t>1</w:t>
      </w:r>
      <w:r w:rsidR="00CF7173">
        <w:rPr>
          <w:kern w:val="2"/>
          <w:sz w:val="22"/>
          <w:szCs w:val="22"/>
          <w:lang w:eastAsia="fr-CA"/>
          <w14:ligatures w14:val="standardContextual"/>
        </w:rPr>
        <w:tab/>
      </w:r>
      <w:r w:rsidR="00CF7173">
        <w:t>Purpose</w:t>
      </w:r>
      <w:r w:rsidR="00CF7173">
        <w:tab/>
      </w:r>
      <w:r w:rsidR="00CF7173">
        <w:fldChar w:fldCharType="begin"/>
      </w:r>
      <w:r w:rsidR="00CF7173">
        <w:instrText xml:space="preserve"> PAGEREF _Toc151382911 \h </w:instrText>
      </w:r>
      <w:r w:rsidR="00CF7173">
        <w:fldChar w:fldCharType="separate"/>
      </w:r>
      <w:r w:rsidR="00CF7173">
        <w:t>1</w:t>
      </w:r>
      <w:r w:rsidR="00CF7173">
        <w:fldChar w:fldCharType="end"/>
      </w:r>
    </w:p>
    <w:p w14:paraId="748BABC6" w14:textId="3B711FB3" w:rsidR="00CF7173" w:rsidRDefault="00CF7173">
      <w:pPr>
        <w:pStyle w:val="TM1"/>
        <w:rPr>
          <w:kern w:val="2"/>
          <w:sz w:val="22"/>
          <w:szCs w:val="22"/>
          <w:lang w:eastAsia="fr-CA"/>
          <w14:ligatures w14:val="standardContextual"/>
        </w:rPr>
      </w:pPr>
      <w:r>
        <w:t>2</w:t>
      </w:r>
      <w:r>
        <w:rPr>
          <w:kern w:val="2"/>
          <w:sz w:val="22"/>
          <w:szCs w:val="22"/>
          <w:lang w:eastAsia="fr-CA"/>
          <w14:ligatures w14:val="standardContextual"/>
        </w:rPr>
        <w:tab/>
      </w:r>
      <w:r>
        <w:t>Scope</w:t>
      </w:r>
      <w:r>
        <w:tab/>
      </w:r>
      <w:r>
        <w:fldChar w:fldCharType="begin"/>
      </w:r>
      <w:r>
        <w:instrText xml:space="preserve"> PAGEREF _Toc151382912 \h </w:instrText>
      </w:r>
      <w:r>
        <w:fldChar w:fldCharType="separate"/>
      </w:r>
      <w:r>
        <w:t>2</w:t>
      </w:r>
      <w:r>
        <w:fldChar w:fldCharType="end"/>
      </w:r>
    </w:p>
    <w:p w14:paraId="2D49BC73" w14:textId="1446E56B" w:rsidR="00CF7173" w:rsidRDefault="00CF7173">
      <w:pPr>
        <w:pStyle w:val="TM1"/>
        <w:rPr>
          <w:kern w:val="2"/>
          <w:sz w:val="22"/>
          <w:szCs w:val="22"/>
          <w:lang w:eastAsia="fr-CA"/>
          <w14:ligatures w14:val="standardContextual"/>
        </w:rPr>
      </w:pPr>
      <w:r>
        <w:t>3</w:t>
      </w:r>
      <w:r>
        <w:rPr>
          <w:kern w:val="2"/>
          <w:sz w:val="22"/>
          <w:szCs w:val="22"/>
          <w:lang w:eastAsia="fr-CA"/>
          <w14:ligatures w14:val="standardContextual"/>
        </w:rPr>
        <w:tab/>
      </w:r>
      <w:r>
        <w:t>Responsibilities</w:t>
      </w:r>
      <w:r>
        <w:tab/>
      </w:r>
      <w:r>
        <w:fldChar w:fldCharType="begin"/>
      </w:r>
      <w:r>
        <w:instrText xml:space="preserve"> PAGEREF _Toc151382913 \h </w:instrText>
      </w:r>
      <w:r>
        <w:fldChar w:fldCharType="separate"/>
      </w:r>
      <w:r>
        <w:t>2</w:t>
      </w:r>
      <w:r>
        <w:fldChar w:fldCharType="end"/>
      </w:r>
    </w:p>
    <w:p w14:paraId="00CF5961" w14:textId="3C9DE178" w:rsidR="00CF7173" w:rsidRDefault="00CF7173">
      <w:pPr>
        <w:pStyle w:val="TM1"/>
        <w:rPr>
          <w:kern w:val="2"/>
          <w:sz w:val="22"/>
          <w:szCs w:val="22"/>
          <w:lang w:eastAsia="fr-CA"/>
          <w14:ligatures w14:val="standardContextual"/>
        </w:rPr>
      </w:pPr>
      <w:r>
        <w:t>4</w:t>
      </w:r>
      <w:r>
        <w:rPr>
          <w:kern w:val="2"/>
          <w:sz w:val="22"/>
          <w:szCs w:val="22"/>
          <w:lang w:eastAsia="fr-CA"/>
          <w14:ligatures w14:val="standardContextual"/>
        </w:rPr>
        <w:tab/>
      </w:r>
      <w:r>
        <w:t>Definitions</w:t>
      </w:r>
      <w:r>
        <w:tab/>
      </w:r>
      <w:r>
        <w:fldChar w:fldCharType="begin"/>
      </w:r>
      <w:r>
        <w:instrText xml:space="preserve"> PAGEREF _Toc151382914 \h </w:instrText>
      </w:r>
      <w:r>
        <w:fldChar w:fldCharType="separate"/>
      </w:r>
      <w:r>
        <w:t>2</w:t>
      </w:r>
      <w:r>
        <w:fldChar w:fldCharType="end"/>
      </w:r>
    </w:p>
    <w:p w14:paraId="2DA48A4C" w14:textId="1BA12B05" w:rsidR="00CF7173" w:rsidRDefault="00CF7173">
      <w:pPr>
        <w:pStyle w:val="TM1"/>
        <w:rPr>
          <w:kern w:val="2"/>
          <w:sz w:val="22"/>
          <w:szCs w:val="22"/>
          <w:lang w:eastAsia="fr-CA"/>
          <w14:ligatures w14:val="standardContextual"/>
        </w:rPr>
      </w:pPr>
      <w:r>
        <w:t>5</w:t>
      </w:r>
      <w:r>
        <w:rPr>
          <w:kern w:val="2"/>
          <w:sz w:val="22"/>
          <w:szCs w:val="22"/>
          <w:lang w:eastAsia="fr-CA"/>
          <w14:ligatures w14:val="standardContextual"/>
        </w:rPr>
        <w:tab/>
      </w:r>
      <w:r>
        <w:t>Procedures</w:t>
      </w:r>
      <w:r>
        <w:tab/>
      </w:r>
      <w:r>
        <w:fldChar w:fldCharType="begin"/>
      </w:r>
      <w:r>
        <w:instrText xml:space="preserve"> PAGEREF _Toc151382915 \h </w:instrText>
      </w:r>
      <w:r>
        <w:fldChar w:fldCharType="separate"/>
      </w:r>
      <w:r>
        <w:t>2</w:t>
      </w:r>
      <w:r>
        <w:fldChar w:fldCharType="end"/>
      </w:r>
    </w:p>
    <w:p w14:paraId="1C5A57F6" w14:textId="366BDDA5" w:rsidR="00CF7173" w:rsidRDefault="00CF7173">
      <w:pPr>
        <w:pStyle w:val="TM2"/>
        <w:rPr>
          <w:kern w:val="2"/>
          <w:sz w:val="22"/>
          <w:szCs w:val="22"/>
          <w:lang w:eastAsia="fr-CA"/>
          <w14:ligatures w14:val="standardContextual"/>
        </w:rPr>
      </w:pPr>
      <w:r>
        <w:t>5.1</w:t>
      </w:r>
      <w:r>
        <w:rPr>
          <w:kern w:val="2"/>
          <w:sz w:val="22"/>
          <w:szCs w:val="22"/>
          <w:lang w:eastAsia="fr-CA"/>
          <w14:ligatures w14:val="standardContextual"/>
        </w:rPr>
        <w:tab/>
      </w:r>
      <w:r>
        <w:t>Selection of REB Members</w:t>
      </w:r>
      <w:r>
        <w:tab/>
      </w:r>
      <w:r>
        <w:fldChar w:fldCharType="begin"/>
      </w:r>
      <w:r>
        <w:instrText xml:space="preserve"> PAGEREF _Toc151382916 \h </w:instrText>
      </w:r>
      <w:r>
        <w:fldChar w:fldCharType="separate"/>
      </w:r>
      <w:r>
        <w:t>2</w:t>
      </w:r>
      <w:r>
        <w:fldChar w:fldCharType="end"/>
      </w:r>
    </w:p>
    <w:p w14:paraId="50ED28E2" w14:textId="5132C93C" w:rsidR="00CF7173" w:rsidRDefault="00CF7173">
      <w:pPr>
        <w:pStyle w:val="TM2"/>
        <w:rPr>
          <w:kern w:val="2"/>
          <w:sz w:val="22"/>
          <w:szCs w:val="22"/>
          <w:lang w:eastAsia="fr-CA"/>
          <w14:ligatures w14:val="standardContextual"/>
        </w:rPr>
      </w:pPr>
      <w:r>
        <w:t>5.2</w:t>
      </w:r>
      <w:r>
        <w:rPr>
          <w:kern w:val="2"/>
          <w:sz w:val="22"/>
          <w:szCs w:val="22"/>
          <w:lang w:eastAsia="fr-CA"/>
          <w14:ligatures w14:val="standardContextual"/>
        </w:rPr>
        <w:tab/>
      </w:r>
      <w:r>
        <w:t>Composition of the REB</w:t>
      </w:r>
      <w:r>
        <w:tab/>
      </w:r>
      <w:r>
        <w:fldChar w:fldCharType="begin"/>
      </w:r>
      <w:r>
        <w:instrText xml:space="preserve"> PAGEREF _Toc151382917 \h </w:instrText>
      </w:r>
      <w:r>
        <w:fldChar w:fldCharType="separate"/>
      </w:r>
      <w:r>
        <w:t>3</w:t>
      </w:r>
      <w:r>
        <w:fldChar w:fldCharType="end"/>
      </w:r>
    </w:p>
    <w:p w14:paraId="35464440" w14:textId="57132B74" w:rsidR="00CF7173" w:rsidRDefault="00CF7173">
      <w:pPr>
        <w:pStyle w:val="TM2"/>
        <w:rPr>
          <w:kern w:val="2"/>
          <w:sz w:val="22"/>
          <w:szCs w:val="22"/>
          <w:lang w:eastAsia="fr-CA"/>
          <w14:ligatures w14:val="standardContextual"/>
        </w:rPr>
      </w:pPr>
      <w:r>
        <w:t>5.3</w:t>
      </w:r>
      <w:r>
        <w:rPr>
          <w:kern w:val="2"/>
          <w:sz w:val="22"/>
          <w:szCs w:val="22"/>
          <w:lang w:eastAsia="fr-CA"/>
          <w14:ligatures w14:val="standardContextual"/>
        </w:rPr>
        <w:tab/>
      </w:r>
      <w:r>
        <w:t>Alternate Members</w:t>
      </w:r>
      <w:r>
        <w:tab/>
      </w:r>
      <w:r>
        <w:fldChar w:fldCharType="begin"/>
      </w:r>
      <w:r>
        <w:instrText xml:space="preserve"> PAGEREF _Toc151382918 \h </w:instrText>
      </w:r>
      <w:r>
        <w:fldChar w:fldCharType="separate"/>
      </w:r>
      <w:r>
        <w:t>4</w:t>
      </w:r>
      <w:r>
        <w:fldChar w:fldCharType="end"/>
      </w:r>
    </w:p>
    <w:p w14:paraId="63B51AD2" w14:textId="78EB1FDF" w:rsidR="00CF7173" w:rsidRDefault="00CF7173">
      <w:pPr>
        <w:pStyle w:val="TM2"/>
        <w:rPr>
          <w:kern w:val="2"/>
          <w:sz w:val="22"/>
          <w:szCs w:val="22"/>
          <w:lang w:eastAsia="fr-CA"/>
          <w14:ligatures w14:val="standardContextual"/>
        </w:rPr>
      </w:pPr>
      <w:r>
        <w:t>5.4</w:t>
      </w:r>
      <w:r>
        <w:rPr>
          <w:kern w:val="2"/>
          <w:sz w:val="22"/>
          <w:szCs w:val="22"/>
          <w:lang w:eastAsia="fr-CA"/>
          <w14:ligatures w14:val="standardContextual"/>
        </w:rPr>
        <w:tab/>
      </w:r>
      <w:r>
        <w:t>REB Chair</w:t>
      </w:r>
      <w:r>
        <w:tab/>
      </w:r>
      <w:r>
        <w:fldChar w:fldCharType="begin"/>
      </w:r>
      <w:r>
        <w:instrText xml:space="preserve"> PAGEREF _Toc151382919 \h </w:instrText>
      </w:r>
      <w:r>
        <w:fldChar w:fldCharType="separate"/>
      </w:r>
      <w:r>
        <w:t>4</w:t>
      </w:r>
      <w:r>
        <w:fldChar w:fldCharType="end"/>
      </w:r>
    </w:p>
    <w:p w14:paraId="35D2E6BF" w14:textId="0FF9948F" w:rsidR="00CF7173" w:rsidRDefault="00CF7173">
      <w:pPr>
        <w:pStyle w:val="TM2"/>
        <w:rPr>
          <w:kern w:val="2"/>
          <w:sz w:val="22"/>
          <w:szCs w:val="22"/>
          <w:lang w:eastAsia="fr-CA"/>
          <w14:ligatures w14:val="standardContextual"/>
        </w:rPr>
      </w:pPr>
      <w:r>
        <w:t>5.5</w:t>
      </w:r>
      <w:r>
        <w:rPr>
          <w:kern w:val="2"/>
          <w:sz w:val="22"/>
          <w:szCs w:val="22"/>
          <w:lang w:eastAsia="fr-CA"/>
          <w14:ligatures w14:val="standardContextual"/>
        </w:rPr>
        <w:tab/>
      </w:r>
      <w:r>
        <w:t>Ad Hoc Advisors</w:t>
      </w:r>
      <w:r>
        <w:tab/>
      </w:r>
      <w:r>
        <w:fldChar w:fldCharType="begin"/>
      </w:r>
      <w:r>
        <w:instrText xml:space="preserve"> PAGEREF _Toc151382920 \h </w:instrText>
      </w:r>
      <w:r>
        <w:fldChar w:fldCharType="separate"/>
      </w:r>
      <w:r>
        <w:t>4</w:t>
      </w:r>
      <w:r>
        <w:fldChar w:fldCharType="end"/>
      </w:r>
    </w:p>
    <w:p w14:paraId="76EAFBE9" w14:textId="2CDCED26" w:rsidR="00CF7173" w:rsidRDefault="00CF7173">
      <w:pPr>
        <w:pStyle w:val="TM2"/>
        <w:rPr>
          <w:kern w:val="2"/>
          <w:sz w:val="22"/>
          <w:szCs w:val="22"/>
          <w:lang w:eastAsia="fr-CA"/>
          <w14:ligatures w14:val="standardContextual"/>
        </w:rPr>
      </w:pPr>
      <w:r>
        <w:t>5.6</w:t>
      </w:r>
      <w:r>
        <w:rPr>
          <w:kern w:val="2"/>
          <w:sz w:val="22"/>
          <w:szCs w:val="22"/>
          <w:lang w:eastAsia="fr-CA"/>
          <w14:ligatures w14:val="standardContextual"/>
        </w:rPr>
        <w:tab/>
      </w:r>
      <w:r>
        <w:t>Observers at REB Meetings</w:t>
      </w:r>
      <w:r>
        <w:tab/>
      </w:r>
      <w:r>
        <w:fldChar w:fldCharType="begin"/>
      </w:r>
      <w:r>
        <w:instrText xml:space="preserve"> PAGEREF _Toc151382921 \h </w:instrText>
      </w:r>
      <w:r>
        <w:fldChar w:fldCharType="separate"/>
      </w:r>
      <w:r>
        <w:t>5</w:t>
      </w:r>
      <w:r>
        <w:fldChar w:fldCharType="end"/>
      </w:r>
    </w:p>
    <w:p w14:paraId="2FCF0146" w14:textId="2806453E" w:rsidR="00CF7173" w:rsidRDefault="00CF7173">
      <w:pPr>
        <w:pStyle w:val="TM1"/>
        <w:rPr>
          <w:kern w:val="2"/>
          <w:sz w:val="22"/>
          <w:szCs w:val="22"/>
          <w:lang w:eastAsia="fr-CA"/>
          <w14:ligatures w14:val="standardContextual"/>
        </w:rPr>
      </w:pPr>
      <w:r>
        <w:t>6</w:t>
      </w:r>
      <w:r>
        <w:rPr>
          <w:kern w:val="2"/>
          <w:sz w:val="22"/>
          <w:szCs w:val="22"/>
          <w:lang w:eastAsia="fr-CA"/>
          <w14:ligatures w14:val="standardContextual"/>
        </w:rPr>
        <w:tab/>
      </w:r>
      <w:r>
        <w:t>References</w:t>
      </w:r>
      <w:r>
        <w:tab/>
      </w:r>
      <w:r>
        <w:fldChar w:fldCharType="begin"/>
      </w:r>
      <w:r>
        <w:instrText xml:space="preserve"> PAGEREF _Toc151382922 \h </w:instrText>
      </w:r>
      <w:r>
        <w:fldChar w:fldCharType="separate"/>
      </w:r>
      <w:r>
        <w:t>5</w:t>
      </w:r>
      <w:r>
        <w:fldChar w:fldCharType="end"/>
      </w:r>
    </w:p>
    <w:p w14:paraId="33709600" w14:textId="121F7FFD" w:rsidR="00CF7173" w:rsidRDefault="00CF7173">
      <w:pPr>
        <w:pStyle w:val="TM1"/>
        <w:rPr>
          <w:kern w:val="2"/>
          <w:sz w:val="22"/>
          <w:szCs w:val="22"/>
          <w:lang w:eastAsia="fr-CA"/>
          <w14:ligatures w14:val="standardContextual"/>
        </w:rPr>
      </w:pPr>
      <w:r>
        <w:t>7</w:t>
      </w:r>
      <w:r>
        <w:rPr>
          <w:kern w:val="2"/>
          <w:sz w:val="22"/>
          <w:szCs w:val="22"/>
          <w:lang w:eastAsia="fr-CA"/>
          <w14:ligatures w14:val="standardContextual"/>
        </w:rPr>
        <w:tab/>
      </w:r>
      <w:r>
        <w:t>Revision History</w:t>
      </w:r>
      <w:r>
        <w:tab/>
      </w:r>
      <w:r>
        <w:fldChar w:fldCharType="begin"/>
      </w:r>
      <w:r>
        <w:instrText xml:space="preserve"> PAGEREF _Toc151382923 \h </w:instrText>
      </w:r>
      <w:r>
        <w:fldChar w:fldCharType="separate"/>
      </w:r>
      <w:r>
        <w:t>5</w:t>
      </w:r>
      <w:r>
        <w:fldChar w:fldCharType="end"/>
      </w:r>
    </w:p>
    <w:p w14:paraId="013740FD" w14:textId="73E35106" w:rsidR="00CF7173" w:rsidRDefault="00CF7173">
      <w:pPr>
        <w:pStyle w:val="TM1"/>
        <w:rPr>
          <w:kern w:val="2"/>
          <w:sz w:val="22"/>
          <w:szCs w:val="22"/>
          <w:lang w:eastAsia="fr-CA"/>
          <w14:ligatures w14:val="standardContextual"/>
        </w:rPr>
      </w:pPr>
      <w:r>
        <w:t>8</w:t>
      </w:r>
      <w:r>
        <w:rPr>
          <w:kern w:val="2"/>
          <w:sz w:val="22"/>
          <w:szCs w:val="22"/>
          <w:lang w:eastAsia="fr-CA"/>
          <w14:ligatures w14:val="standardContextual"/>
        </w:rPr>
        <w:tab/>
      </w:r>
      <w:r>
        <w:t>Appendices</w:t>
      </w:r>
      <w:r>
        <w:tab/>
      </w:r>
      <w:r>
        <w:fldChar w:fldCharType="begin"/>
      </w:r>
      <w:r>
        <w:instrText xml:space="preserve"> PAGEREF _Toc151382924 \h </w:instrText>
      </w:r>
      <w:r>
        <w:fldChar w:fldCharType="separate"/>
      </w:r>
      <w:r>
        <w:t>5</w:t>
      </w:r>
      <w:r>
        <w:fldChar w:fldCharType="end"/>
      </w:r>
    </w:p>
    <w:p w14:paraId="71A8FD75" w14:textId="3FC4EC39" w:rsidR="002B5BA5" w:rsidRPr="00CF7173" w:rsidRDefault="0030269A" w:rsidP="00EE11DD">
      <w:pPr>
        <w:rPr>
          <w:lang w:val="en-CA"/>
        </w:rPr>
      </w:pPr>
      <w:r w:rsidRPr="00CF7173">
        <w:rPr>
          <w:rFonts w:eastAsiaTheme="minorEastAsia" w:cstheme="minorHAnsi"/>
          <w:lang w:val="en-CA" w:eastAsia="fr-FR"/>
        </w:rPr>
        <w:fldChar w:fldCharType="end"/>
      </w:r>
    </w:p>
    <w:p w14:paraId="7B106172" w14:textId="77777777" w:rsidR="00B66BD6" w:rsidRPr="00CF7173" w:rsidRDefault="00756C58" w:rsidP="00EE11DD">
      <w:pPr>
        <w:pStyle w:val="Titre1"/>
        <w:widowControl/>
      </w:pPr>
      <w:bookmarkStart w:id="0" w:name="_Toc10645061"/>
      <w:bookmarkStart w:id="1" w:name="_Toc151382911"/>
      <w:r w:rsidRPr="00CF7173">
        <w:t>Purpose</w:t>
      </w:r>
      <w:bookmarkEnd w:id="0"/>
      <w:bookmarkEnd w:id="1"/>
    </w:p>
    <w:p w14:paraId="3E773AA4" w14:textId="1FB31CF7" w:rsidR="002E18ED" w:rsidRPr="00CF7173" w:rsidRDefault="002F6053" w:rsidP="00EE11DD">
      <w:pPr>
        <w:rPr>
          <w:lang w:val="en-CA"/>
        </w:rPr>
      </w:pPr>
      <w:r w:rsidRPr="00CF7173">
        <w:rPr>
          <w:lang w:val="en-CA"/>
        </w:rPr>
        <w:t>This standard operating procedure (SOP) describes the composition requirements of the Research Ethics Board (REB).</w:t>
      </w:r>
    </w:p>
    <w:p w14:paraId="7F117287" w14:textId="77777777" w:rsidR="00756C58" w:rsidRPr="00CF7173" w:rsidRDefault="00756C58" w:rsidP="00EE11DD">
      <w:pPr>
        <w:pStyle w:val="Titre1"/>
        <w:widowControl/>
      </w:pPr>
      <w:bookmarkStart w:id="2" w:name="_Toc151382912"/>
      <w:r w:rsidRPr="00CF7173">
        <w:lastRenderedPageBreak/>
        <w:t>Scope</w:t>
      </w:r>
      <w:bookmarkEnd w:id="2"/>
    </w:p>
    <w:p w14:paraId="5B6393C9" w14:textId="5AAE7CF2" w:rsidR="002E18ED" w:rsidRPr="00CF7173" w:rsidRDefault="002F6053" w:rsidP="00EE11DD">
      <w:pPr>
        <w:rPr>
          <w:lang w:val="en-CA"/>
        </w:rPr>
      </w:pPr>
      <w:r w:rsidRPr="00CF7173">
        <w:rPr>
          <w:lang w:val="en-CA"/>
        </w:rPr>
        <w:t xml:space="preserve">This SOP pertains to REBs that review human participant research in compliance with applicable </w:t>
      </w:r>
      <w:r w:rsidR="00DB3E69" w:rsidRPr="00CF7173">
        <w:rPr>
          <w:lang w:val="en-CA"/>
        </w:rPr>
        <w:t>laws</w:t>
      </w:r>
      <w:r w:rsidR="00B721B7" w:rsidRPr="00CF7173">
        <w:rPr>
          <w:lang w:val="en-CA"/>
        </w:rPr>
        <w:t xml:space="preserve">, </w:t>
      </w:r>
      <w:r w:rsidRPr="00CF7173">
        <w:rPr>
          <w:lang w:val="en-CA"/>
        </w:rPr>
        <w:t>regulations</w:t>
      </w:r>
      <w:r w:rsidR="0061279F">
        <w:rPr>
          <w:lang w:val="en-CA"/>
        </w:rPr>
        <w:t>,</w:t>
      </w:r>
      <w:r w:rsidRPr="00CF7173">
        <w:rPr>
          <w:lang w:val="en-CA"/>
        </w:rPr>
        <w:t xml:space="preserve"> and guidelines.</w:t>
      </w:r>
    </w:p>
    <w:p w14:paraId="162971D8" w14:textId="77777777" w:rsidR="00756C58" w:rsidRPr="00CF7173" w:rsidRDefault="002E18ED" w:rsidP="00EE11DD">
      <w:pPr>
        <w:pStyle w:val="Titre1"/>
        <w:widowControl/>
      </w:pPr>
      <w:bookmarkStart w:id="3" w:name="_Toc151382913"/>
      <w:r w:rsidRPr="00CF7173">
        <w:t>R</w:t>
      </w:r>
      <w:r w:rsidR="00756C58" w:rsidRPr="00CF7173">
        <w:t>esponsibilities</w:t>
      </w:r>
      <w:bookmarkEnd w:id="3"/>
    </w:p>
    <w:p w14:paraId="4F012D8E" w14:textId="77777777" w:rsidR="002F6053" w:rsidRPr="00CF7173" w:rsidRDefault="002F6053" w:rsidP="00EE11DD">
      <w:pPr>
        <w:rPr>
          <w:lang w:val="en-CA"/>
        </w:rPr>
      </w:pPr>
      <w:r w:rsidRPr="00CF7173">
        <w:rPr>
          <w:lang w:val="en-CA"/>
        </w:rPr>
        <w:t>All designated REB staff are responsible for ensuring that the requirements of this SOP are met.</w:t>
      </w:r>
    </w:p>
    <w:p w14:paraId="7B3D825D" w14:textId="77777777" w:rsidR="002E18ED" w:rsidRPr="00CF7173" w:rsidRDefault="002F6053" w:rsidP="00EE11DD">
      <w:pPr>
        <w:rPr>
          <w:lang w:val="en-CA"/>
        </w:rPr>
      </w:pPr>
      <w:r w:rsidRPr="00CF7173">
        <w:rPr>
          <w:lang w:val="en-CA"/>
        </w:rPr>
        <w:t>The REB Chair or designee is responsible for ensuring that the composition of the REB meets the applicable regulatory requirements.</w:t>
      </w:r>
    </w:p>
    <w:p w14:paraId="01BF2B91" w14:textId="77777777" w:rsidR="00756C58" w:rsidRPr="00CF7173" w:rsidRDefault="002E18ED" w:rsidP="00EE11DD">
      <w:pPr>
        <w:pStyle w:val="Titre1"/>
        <w:widowControl/>
      </w:pPr>
      <w:bookmarkStart w:id="4" w:name="_Toc151382914"/>
      <w:r w:rsidRPr="00CF7173">
        <w:t>D</w:t>
      </w:r>
      <w:r w:rsidR="00756C58" w:rsidRPr="00CF7173">
        <w:t>efinitions</w:t>
      </w:r>
      <w:bookmarkEnd w:id="4"/>
    </w:p>
    <w:p w14:paraId="1DF6FDDE" w14:textId="77777777" w:rsidR="002E18ED" w:rsidRPr="00CF7173" w:rsidRDefault="00A313CE" w:rsidP="00EE11DD">
      <w:pPr>
        <w:rPr>
          <w:lang w:val="en-CA"/>
        </w:rPr>
      </w:pPr>
      <w:r w:rsidRPr="00CF7173">
        <w:rPr>
          <w:lang w:val="en-CA"/>
        </w:rPr>
        <w:t>See Glossary of Terms.</w:t>
      </w:r>
    </w:p>
    <w:p w14:paraId="2775FD3A" w14:textId="77777777" w:rsidR="00756C58" w:rsidRPr="00CF7173" w:rsidRDefault="002E18ED" w:rsidP="00EE11DD">
      <w:pPr>
        <w:pStyle w:val="Titre1"/>
        <w:widowControl/>
      </w:pPr>
      <w:bookmarkStart w:id="5" w:name="_Toc151382915"/>
      <w:r w:rsidRPr="00CF7173">
        <w:t>P</w:t>
      </w:r>
      <w:r w:rsidR="00756C58" w:rsidRPr="00CF7173">
        <w:t>rocedures</w:t>
      </w:r>
      <w:bookmarkEnd w:id="5"/>
    </w:p>
    <w:p w14:paraId="748060CD" w14:textId="77777777" w:rsidR="002F6053" w:rsidRPr="00CF7173" w:rsidRDefault="002F6053" w:rsidP="00EE11DD">
      <w:pPr>
        <w:rPr>
          <w:lang w:val="en-CA"/>
        </w:rPr>
      </w:pPr>
      <w:r w:rsidRPr="00CF7173">
        <w:rPr>
          <w:lang w:val="en-CA"/>
        </w:rPr>
        <w:t xml:space="preserve">Individual members of an REB must be qualified through training, </w:t>
      </w:r>
      <w:proofErr w:type="gramStart"/>
      <w:r w:rsidRPr="00CF7173">
        <w:rPr>
          <w:lang w:val="en-CA"/>
        </w:rPr>
        <w:t>experience</w:t>
      </w:r>
      <w:proofErr w:type="gramEnd"/>
      <w:r w:rsidRPr="00CF7173">
        <w:rPr>
          <w:lang w:val="en-CA"/>
        </w:rPr>
        <w:t xml:space="preserve"> and expertise to ascertain the acceptability of proposed research in terms of ethical principles, and applicable regulations, guidelines and standards pertaining to human participant protection.</w:t>
      </w:r>
      <w:r w:rsidRPr="00CF7173">
        <w:rPr>
          <w:rStyle w:val="Appelnotedebasdep"/>
          <w:rFonts w:cs="Calibri"/>
          <w:lang w:val="en-CA"/>
        </w:rPr>
        <w:footnoteReference w:id="1"/>
      </w:r>
    </w:p>
    <w:p w14:paraId="7C0E844B" w14:textId="0E1E7F00" w:rsidR="002E18ED" w:rsidRPr="00CF7173" w:rsidRDefault="002F6053" w:rsidP="00EE11DD">
      <w:pPr>
        <w:rPr>
          <w:lang w:val="en-CA"/>
        </w:rPr>
      </w:pPr>
      <w:r w:rsidRPr="00CF7173">
        <w:rPr>
          <w:lang w:val="en-CA"/>
        </w:rPr>
        <w:t>To promote complete and adequate review of the type of research commonly reviewed by the REB, the REB must include appropriate diversity</w:t>
      </w:r>
      <w:r w:rsidRPr="00CF7173">
        <w:rPr>
          <w:vertAlign w:val="superscript"/>
          <w:lang w:val="en-CA"/>
        </w:rPr>
        <w:footnoteReference w:id="2"/>
      </w:r>
      <w:r w:rsidRPr="00CF7173">
        <w:rPr>
          <w:lang w:val="en-CA"/>
        </w:rPr>
        <w:t>; therefore, selection of members must include a consideration of professional expertise (including both scientific and non-scientific) to assess the research submitted for review. Important considerations are also sex, cultural background, clinical and research experience, organizational affiliation, and sensitivity to such issues as representation from organizations served by the REB.</w:t>
      </w:r>
    </w:p>
    <w:p w14:paraId="53F619C5" w14:textId="77777777" w:rsidR="002F6053" w:rsidRPr="00CF7173" w:rsidRDefault="002F6053" w:rsidP="00EE11DD">
      <w:pPr>
        <w:pStyle w:val="Titre2"/>
        <w:widowControl/>
      </w:pPr>
      <w:bookmarkStart w:id="6" w:name="_Toc151382916"/>
      <w:r w:rsidRPr="00CF7173">
        <w:t>Selection of REB Members</w:t>
      </w:r>
      <w:bookmarkEnd w:id="6"/>
    </w:p>
    <w:p w14:paraId="23478365" w14:textId="77777777" w:rsidR="002F6053" w:rsidRPr="00CF7173" w:rsidRDefault="002F6053" w:rsidP="00EE11DD">
      <w:pPr>
        <w:pStyle w:val="Titre3"/>
        <w:widowControl/>
      </w:pPr>
      <w:r w:rsidRPr="00CF7173">
        <w:t xml:space="preserve">REB members will be selected based on the needs of the REB as outlined below and as per applicable regulations, guidelines and </w:t>
      </w:r>
      <w:proofErr w:type="gramStart"/>
      <w:r w:rsidRPr="00CF7173">
        <w:t>standards;</w:t>
      </w:r>
      <w:proofErr w:type="gramEnd"/>
    </w:p>
    <w:p w14:paraId="09887197" w14:textId="77777777" w:rsidR="002F6053" w:rsidRPr="00CF7173" w:rsidRDefault="002F6053" w:rsidP="00EE11DD">
      <w:pPr>
        <w:pStyle w:val="Titre3"/>
        <w:widowControl/>
      </w:pPr>
      <w:r w:rsidRPr="00CF7173">
        <w:t xml:space="preserve">In selection of REB members, equal consideration shall be given to qualified persons of both sexes. No appointment shall be made solely on the basis of </w:t>
      </w:r>
      <w:proofErr w:type="gramStart"/>
      <w:r w:rsidRPr="00CF7173">
        <w:t>sex;</w:t>
      </w:r>
      <w:proofErr w:type="gramEnd"/>
    </w:p>
    <w:p w14:paraId="527A74A9" w14:textId="77777777" w:rsidR="002F6053" w:rsidRPr="00CF7173" w:rsidRDefault="002F6053" w:rsidP="00EE11DD">
      <w:pPr>
        <w:pStyle w:val="Titre3"/>
        <w:widowControl/>
      </w:pPr>
      <w:r w:rsidRPr="00CF7173">
        <w:t xml:space="preserve">The REB will make every effort to include cultural and ethnic minorities to represent the population from which research participants are recruited, within the scope of available expertise needed to conduct its </w:t>
      </w:r>
      <w:proofErr w:type="gramStart"/>
      <w:r w:rsidRPr="00CF7173">
        <w:t>functions;</w:t>
      </w:r>
      <w:proofErr w:type="gramEnd"/>
    </w:p>
    <w:p w14:paraId="3EDA6A2F" w14:textId="77777777" w:rsidR="002F6053" w:rsidRPr="00CF7173" w:rsidRDefault="002F6053" w:rsidP="00EE11DD">
      <w:pPr>
        <w:pStyle w:val="Titre3"/>
        <w:widowControl/>
      </w:pPr>
      <w:r w:rsidRPr="00CF7173">
        <w:lastRenderedPageBreak/>
        <w:t>The REB membership will not consist entirely of members of one profession.</w:t>
      </w:r>
    </w:p>
    <w:p w14:paraId="5C287167" w14:textId="77777777" w:rsidR="002F6053" w:rsidRPr="00CF7173" w:rsidRDefault="002F6053" w:rsidP="00EE11DD">
      <w:pPr>
        <w:pStyle w:val="Titre2"/>
        <w:widowControl/>
      </w:pPr>
      <w:bookmarkStart w:id="7" w:name="_Toc151382917"/>
      <w:r w:rsidRPr="00CF7173">
        <w:t>Composition of the REB</w:t>
      </w:r>
      <w:bookmarkEnd w:id="7"/>
    </w:p>
    <w:p w14:paraId="16935E94" w14:textId="01866F9D" w:rsidR="002F6053" w:rsidRPr="00CF7173" w:rsidRDefault="002F6053" w:rsidP="00EE11DD">
      <w:pPr>
        <w:pStyle w:val="Titre3"/>
        <w:widowControl/>
      </w:pPr>
      <w:r w:rsidRPr="00CF7173">
        <w:t xml:space="preserve">The </w:t>
      </w:r>
      <w:r w:rsidR="0052590A" w:rsidRPr="00CF7173">
        <w:t xml:space="preserve">composition </w:t>
      </w:r>
      <w:r w:rsidRPr="00CF7173">
        <w:t xml:space="preserve">of the REB will be in compliance with applicable laws, regulations, and </w:t>
      </w:r>
      <w:proofErr w:type="gramStart"/>
      <w:r w:rsidRPr="00CF7173">
        <w:t>guidelines;</w:t>
      </w:r>
      <w:proofErr w:type="gramEnd"/>
    </w:p>
    <w:p w14:paraId="2EA0054B" w14:textId="77777777" w:rsidR="002F6053" w:rsidRPr="00CF7173" w:rsidRDefault="002F6053" w:rsidP="00EE11DD">
      <w:pPr>
        <w:pStyle w:val="Titre3"/>
        <w:widowControl/>
      </w:pPr>
      <w:r w:rsidRPr="00CF7173">
        <w:t xml:space="preserve">The REB Chair or designee monitors the REB membership composition for appropriate membership in relation to the nature and volume of research </w:t>
      </w:r>
      <w:proofErr w:type="gramStart"/>
      <w:r w:rsidRPr="00CF7173">
        <w:t>submissions;</w:t>
      </w:r>
      <w:proofErr w:type="gramEnd"/>
    </w:p>
    <w:p w14:paraId="4BF7EA8F" w14:textId="77777777" w:rsidR="002F6053" w:rsidRPr="00CF7173" w:rsidRDefault="002F6053" w:rsidP="00EE11DD">
      <w:pPr>
        <w:pStyle w:val="Titre3"/>
        <w:widowControl/>
      </w:pPr>
      <w:r w:rsidRPr="00CF7173">
        <w:t>The REB will include at least five members</w:t>
      </w:r>
      <w:r w:rsidRPr="00CF7173">
        <w:rPr>
          <w:vertAlign w:val="superscript"/>
        </w:rPr>
        <w:footnoteReference w:id="3"/>
      </w:r>
      <w:r w:rsidRPr="00CF7173">
        <w:t xml:space="preserve"> represented by the following categories:</w:t>
      </w:r>
    </w:p>
    <w:p w14:paraId="00EE4167" w14:textId="341D3E9D" w:rsidR="002F6053" w:rsidRPr="00CF7173" w:rsidRDefault="002F6053" w:rsidP="00EE11DD">
      <w:pPr>
        <w:pStyle w:val="SOPBulletC"/>
        <w:rPr>
          <w:lang w:val="en-CA"/>
        </w:rPr>
      </w:pPr>
      <w:r w:rsidRPr="00CF7173">
        <w:rPr>
          <w:lang w:val="en-CA"/>
        </w:rPr>
        <w:t>At least two members who have expertise in relevant research disciplines, field and methodologies covered by the REB</w:t>
      </w:r>
      <w:r w:rsidR="00E445A4" w:rsidRPr="00CF7173">
        <w:rPr>
          <w:rStyle w:val="Appelnotedebasdep"/>
          <w:lang w:val="en-CA"/>
        </w:rPr>
        <w:footnoteReference w:id="4"/>
      </w:r>
      <w:r w:rsidRPr="00CF7173">
        <w:rPr>
          <w:lang w:val="en-CA"/>
        </w:rPr>
        <w:t xml:space="preserve"> (for biomedical clinical trials, this will include at least one member who is a physician, dentist, or pharmacist and who is in good standing with the Council of Physicians, Dentists and Pharmacists (CPDP)),</w:t>
      </w:r>
    </w:p>
    <w:p w14:paraId="3E4E4AB9" w14:textId="77777777" w:rsidR="002F6053" w:rsidRPr="00CF7173" w:rsidRDefault="002F6053" w:rsidP="00EE11DD">
      <w:pPr>
        <w:pStyle w:val="SOPBulletC"/>
        <w:rPr>
          <w:lang w:val="en-CA"/>
        </w:rPr>
      </w:pPr>
      <w:r w:rsidRPr="00CF7173">
        <w:rPr>
          <w:lang w:val="en-CA"/>
        </w:rPr>
        <w:t>At least one member who is knowledgeable in ethics,</w:t>
      </w:r>
      <w:r w:rsidRPr="00CF7173">
        <w:rPr>
          <w:vertAlign w:val="superscript"/>
          <w:lang w:val="en-CA"/>
        </w:rPr>
        <w:footnoteReference w:id="5"/>
      </w:r>
    </w:p>
    <w:p w14:paraId="5C95714C" w14:textId="77777777" w:rsidR="002F6053" w:rsidRPr="00CF7173" w:rsidRDefault="002F6053" w:rsidP="00EE11DD">
      <w:pPr>
        <w:pStyle w:val="SOPBulletC"/>
        <w:rPr>
          <w:lang w:val="en-CA"/>
        </w:rPr>
      </w:pPr>
      <w:r w:rsidRPr="00CF7173">
        <w:rPr>
          <w:lang w:val="en-CA"/>
        </w:rPr>
        <w:t>At least one member with legal expertise, knowledgeable in laws relevant to the types of research being reviewed,</w:t>
      </w:r>
      <w:r w:rsidRPr="00CF7173">
        <w:rPr>
          <w:vertAlign w:val="superscript"/>
          <w:lang w:val="en-CA"/>
        </w:rPr>
        <w:footnoteReference w:id="6"/>
      </w:r>
    </w:p>
    <w:p w14:paraId="6C28657F" w14:textId="20B6B2E6" w:rsidR="002F6053" w:rsidRPr="00CF7173" w:rsidRDefault="002F6053" w:rsidP="00EE11DD">
      <w:pPr>
        <w:pStyle w:val="SOPBulletC"/>
        <w:rPr>
          <w:lang w:val="en-CA"/>
        </w:rPr>
      </w:pPr>
      <w:r w:rsidRPr="00CF7173">
        <w:rPr>
          <w:lang w:val="en-CA"/>
        </w:rPr>
        <w:t>At least one community member or representative of an organization interested in the areas of research being reviewed who has no affiliation with the institution or the sponsor,</w:t>
      </w:r>
      <w:r w:rsidRPr="00CF7173">
        <w:rPr>
          <w:vertAlign w:val="superscript"/>
          <w:lang w:val="en-CA"/>
        </w:rPr>
        <w:footnoteReference w:id="7"/>
      </w:r>
      <w:r w:rsidRPr="00CF7173">
        <w:rPr>
          <w:lang w:val="en-CA"/>
        </w:rPr>
        <w:t xml:space="preserve"> and who is not part of the immediate family of a person who is affiliated with the institution</w:t>
      </w:r>
      <w:r w:rsidR="007A7E3A" w:rsidRPr="00CF7173">
        <w:rPr>
          <w:rStyle w:val="Appelnotedebasdep"/>
          <w:lang w:val="en-CA"/>
        </w:rPr>
        <w:footnoteReference w:id="8"/>
      </w:r>
      <w:r w:rsidRPr="00CF7173">
        <w:rPr>
          <w:lang w:val="en-CA"/>
        </w:rPr>
        <w:t>;</w:t>
      </w:r>
    </w:p>
    <w:p w14:paraId="64CAA0C3" w14:textId="1A264F7B" w:rsidR="002F6053" w:rsidRPr="00CF7173" w:rsidRDefault="002F6053" w:rsidP="00EE11DD">
      <w:pPr>
        <w:pStyle w:val="Titre3"/>
        <w:widowControl/>
      </w:pPr>
      <w:r w:rsidRPr="00CF7173">
        <w:t xml:space="preserve">A member may fulfill more than one representative </w:t>
      </w:r>
      <w:r w:rsidR="007A7E3A" w:rsidRPr="00CF7173">
        <w:t xml:space="preserve">category </w:t>
      </w:r>
      <w:r w:rsidRPr="00CF7173">
        <w:t>or discipline</w:t>
      </w:r>
      <w:r w:rsidR="007A7E3A" w:rsidRPr="00CF7173">
        <w:rPr>
          <w:rStyle w:val="Appelnotedebasdep"/>
        </w:rPr>
        <w:footnoteReference w:id="9"/>
      </w:r>
      <w:r w:rsidRPr="00CF7173">
        <w:t>;</w:t>
      </w:r>
    </w:p>
    <w:p w14:paraId="4C863AC5" w14:textId="77777777" w:rsidR="002F6053" w:rsidRPr="00CF7173" w:rsidRDefault="002F6053" w:rsidP="00EE11DD">
      <w:pPr>
        <w:pStyle w:val="Titre3"/>
        <w:widowControl/>
      </w:pPr>
      <w:r w:rsidRPr="00CF7173">
        <w:t>Members will include men and women,</w:t>
      </w:r>
      <w:r w:rsidRPr="00CF7173">
        <w:rPr>
          <w:vertAlign w:val="superscript"/>
        </w:rPr>
        <w:footnoteReference w:id="10"/>
      </w:r>
      <w:r w:rsidRPr="00CF7173">
        <w:t xml:space="preserve"> a majority of whom are Canadian citizens or permanent residents under the </w:t>
      </w:r>
      <w:r w:rsidRPr="00CF7173">
        <w:rPr>
          <w:i/>
          <w:iCs/>
        </w:rPr>
        <w:t>Immigration and Refugee Protection Act</w:t>
      </w:r>
      <w:r w:rsidRPr="00CF7173">
        <w:rPr>
          <w:vertAlign w:val="superscript"/>
        </w:rPr>
        <w:footnoteReference w:id="11"/>
      </w:r>
      <w:r w:rsidRPr="00CF7173">
        <w:t>;</w:t>
      </w:r>
    </w:p>
    <w:p w14:paraId="548980EA" w14:textId="77777777" w:rsidR="002F6053" w:rsidRPr="00CF7173" w:rsidRDefault="002F6053" w:rsidP="00EE11DD">
      <w:pPr>
        <w:pStyle w:val="Titre3"/>
        <w:widowControl/>
      </w:pPr>
      <w:r w:rsidRPr="00CF7173">
        <w:lastRenderedPageBreak/>
        <w:t xml:space="preserve">Membership, when required, should include at least one member who has expertise in complementary or alternative care or pediatric health </w:t>
      </w:r>
      <w:proofErr w:type="gramStart"/>
      <w:r w:rsidRPr="00CF7173">
        <w:t>research;</w:t>
      </w:r>
      <w:proofErr w:type="gramEnd"/>
    </w:p>
    <w:p w14:paraId="3A2379AF" w14:textId="4BA9C825" w:rsidR="002F6053" w:rsidRPr="00CF7173" w:rsidRDefault="002F6053" w:rsidP="00EE11DD">
      <w:pPr>
        <w:pStyle w:val="Titre3"/>
        <w:widowControl/>
        <w:numPr>
          <w:ilvl w:val="0"/>
          <w:numId w:val="0"/>
        </w:numPr>
        <w:ind w:left="1134"/>
      </w:pPr>
      <w:r w:rsidRPr="00CF7173">
        <w:t>At least one member, when relevant, should be from an identifiable Indigenous community or center, when the REB reviews research that recruits participants from that community</w:t>
      </w:r>
      <w:r w:rsidR="007A7E3A" w:rsidRPr="00CF7173">
        <w:rPr>
          <w:rStyle w:val="Appelnotedebasdep"/>
        </w:rPr>
        <w:footnoteReference w:id="12"/>
      </w:r>
      <w:r w:rsidRPr="00CF7173">
        <w:t>;</w:t>
      </w:r>
    </w:p>
    <w:p w14:paraId="7DFFFEE5" w14:textId="0FB8E6D8" w:rsidR="002F6053" w:rsidRPr="00CF7173" w:rsidRDefault="002F6053" w:rsidP="00EE11DD">
      <w:pPr>
        <w:pStyle w:val="Titre3"/>
        <w:widowControl/>
      </w:pPr>
      <w:r w:rsidRPr="00CF7173">
        <w:t>REB Support Staff will update the list of potential REB members as well as the U.S. Office for Human Research Protections (OHRP) register, if applicable, to reflect any change to the composition of the</w:t>
      </w:r>
      <w:r w:rsidR="00FE6AD1" w:rsidRPr="00CF7173">
        <w:t> </w:t>
      </w:r>
      <w:r w:rsidRPr="00CF7173">
        <w:t>REB.</w:t>
      </w:r>
      <w:r w:rsidR="007A7E3A" w:rsidRPr="00CF7173">
        <w:t xml:space="preserve"> Any change in the </w:t>
      </w:r>
      <w:r w:rsidR="0052590A" w:rsidRPr="00CF7173">
        <w:t>composition</w:t>
      </w:r>
      <w:r w:rsidR="007A7E3A" w:rsidRPr="00CF7173">
        <w:t xml:space="preserve"> of an REB must be the subject of a notice to the Minister.</w:t>
      </w:r>
    </w:p>
    <w:p w14:paraId="60E28C9A" w14:textId="77777777" w:rsidR="002F6053" w:rsidRPr="00CF7173" w:rsidRDefault="002F6053" w:rsidP="00EE11DD">
      <w:pPr>
        <w:pStyle w:val="Titre2"/>
        <w:widowControl/>
      </w:pPr>
      <w:bookmarkStart w:id="8" w:name="_Toc151382918"/>
      <w:r w:rsidRPr="00CF7173">
        <w:t>Alternate Members</w:t>
      </w:r>
      <w:bookmarkEnd w:id="8"/>
    </w:p>
    <w:p w14:paraId="6E38E20F" w14:textId="6AAD5139" w:rsidR="002F6053" w:rsidRPr="00CF7173" w:rsidRDefault="002F6053" w:rsidP="00EE11DD">
      <w:pPr>
        <w:pStyle w:val="Titre3"/>
        <w:widowControl/>
      </w:pPr>
      <w:r w:rsidRPr="00CF7173">
        <w:t xml:space="preserve">The REB Chair or designee may ask an alternate REB member to attend an REB meeting to draw on his/her expertise in an area that may be relevant to deliberations or to establish a quorum for a meeting. The REB Chair or designee may also ask an alternate REB member to attend an REB meeting in the absence of the regular REB </w:t>
      </w:r>
      <w:proofErr w:type="gramStart"/>
      <w:r w:rsidRPr="00CF7173">
        <w:t>member;</w:t>
      </w:r>
      <w:proofErr w:type="gramEnd"/>
    </w:p>
    <w:p w14:paraId="17454BCB" w14:textId="77777777" w:rsidR="002F6053" w:rsidRPr="00CF7173" w:rsidRDefault="002F6053" w:rsidP="00EE11DD">
      <w:pPr>
        <w:pStyle w:val="Titre3"/>
        <w:widowControl/>
      </w:pPr>
      <w:r w:rsidRPr="00CF7173">
        <w:t>Only alternate REB members of comparable knowledge, qualifications, and training may substitute for an REB member (a non-scientific member may not substitute for a scientific member).</w:t>
      </w:r>
      <w:r w:rsidRPr="00CF7173">
        <w:rPr>
          <w:vertAlign w:val="superscript"/>
        </w:rPr>
        <w:footnoteReference w:id="13"/>
      </w:r>
    </w:p>
    <w:p w14:paraId="5879656A" w14:textId="77777777" w:rsidR="002F6053" w:rsidRPr="00CF7173" w:rsidRDefault="002F6053" w:rsidP="00EE11DD">
      <w:pPr>
        <w:pStyle w:val="Titre2"/>
        <w:widowControl/>
      </w:pPr>
      <w:bookmarkStart w:id="9" w:name="_Toc151382919"/>
      <w:r w:rsidRPr="00CF7173">
        <w:t>REB Chair</w:t>
      </w:r>
      <w:bookmarkEnd w:id="9"/>
    </w:p>
    <w:p w14:paraId="443475F7" w14:textId="77777777" w:rsidR="002F6053" w:rsidRPr="00CF7173" w:rsidRDefault="002F6053" w:rsidP="00EE11DD">
      <w:pPr>
        <w:pStyle w:val="Titre3"/>
        <w:widowControl/>
      </w:pPr>
      <w:r w:rsidRPr="00CF7173">
        <w:t xml:space="preserve">Whenever possible, the REB Chair is an experienced REB member who is familiar with the applicable regulations and guidance </w:t>
      </w:r>
      <w:proofErr w:type="gramStart"/>
      <w:r w:rsidRPr="00CF7173">
        <w:t>documents;</w:t>
      </w:r>
      <w:proofErr w:type="gramEnd"/>
    </w:p>
    <w:p w14:paraId="2B9E5222" w14:textId="77777777" w:rsidR="002F6053" w:rsidRPr="00CF7173" w:rsidRDefault="002F6053" w:rsidP="00EE11DD">
      <w:pPr>
        <w:pStyle w:val="Titre3"/>
        <w:widowControl/>
      </w:pPr>
      <w:r w:rsidRPr="00CF7173">
        <w:t>To exercise his mandate, the REB Chair must first be appointed as an REB member.</w:t>
      </w:r>
    </w:p>
    <w:p w14:paraId="73C1AE2D" w14:textId="77777777" w:rsidR="002F6053" w:rsidRPr="00CF7173" w:rsidRDefault="002F6053" w:rsidP="00EE11DD">
      <w:pPr>
        <w:pStyle w:val="Titre2"/>
        <w:widowControl/>
      </w:pPr>
      <w:bookmarkStart w:id="10" w:name="_Toc151382920"/>
      <w:r w:rsidRPr="00CF7173">
        <w:t>Ad Hoc Advisors</w:t>
      </w:r>
      <w:bookmarkEnd w:id="10"/>
    </w:p>
    <w:p w14:paraId="6843EDA8" w14:textId="77777777" w:rsidR="002F6053" w:rsidRPr="00CF7173" w:rsidRDefault="002F6053" w:rsidP="00EE11DD">
      <w:pPr>
        <w:pStyle w:val="Titre3"/>
        <w:widowControl/>
      </w:pPr>
      <w:r w:rsidRPr="00CF7173">
        <w:t>At his/her discretion, the REB Chair or designee may invite individuals with expertise and competence in special areas to assist in the review of issues that require expertise beyond or in addition to that available on the REB</w:t>
      </w:r>
      <w:r w:rsidRPr="00CF7173">
        <w:rPr>
          <w:vertAlign w:val="superscript"/>
        </w:rPr>
        <w:footnoteReference w:id="14"/>
      </w:r>
      <w:r w:rsidRPr="00CF7173">
        <w:t>;</w:t>
      </w:r>
    </w:p>
    <w:p w14:paraId="110122DF" w14:textId="77777777" w:rsidR="002F6053" w:rsidRPr="00CF7173" w:rsidRDefault="002F6053" w:rsidP="00EE11DD">
      <w:pPr>
        <w:pStyle w:val="Titre3"/>
        <w:widowControl/>
      </w:pPr>
      <w:r w:rsidRPr="00CF7173">
        <w:t xml:space="preserve">All ad hoc advisors shall sign a </w:t>
      </w:r>
      <w:r w:rsidRPr="00CF7173">
        <w:rPr>
          <w:i/>
          <w:iCs/>
        </w:rPr>
        <w:t xml:space="preserve">Confidentiality of Information and Conflict of Interest </w:t>
      </w:r>
      <w:proofErr w:type="gramStart"/>
      <w:r w:rsidRPr="00CF7173">
        <w:rPr>
          <w:i/>
          <w:iCs/>
        </w:rPr>
        <w:t>Agreement</w:t>
      </w:r>
      <w:r w:rsidRPr="00CF7173">
        <w:t>;</w:t>
      </w:r>
      <w:proofErr w:type="gramEnd"/>
    </w:p>
    <w:p w14:paraId="73A37A82" w14:textId="77777777" w:rsidR="002F6053" w:rsidRPr="00CF7173" w:rsidRDefault="002F6053" w:rsidP="00EE11DD">
      <w:pPr>
        <w:pStyle w:val="Titre3"/>
        <w:widowControl/>
      </w:pPr>
      <w:r w:rsidRPr="00CF7173">
        <w:t xml:space="preserve">The ad hoc advisor shall not participate in REB deliberations and their presence or absence shall not be used in establishing a </w:t>
      </w:r>
      <w:proofErr w:type="gramStart"/>
      <w:r w:rsidRPr="00CF7173">
        <w:t>quorum;</w:t>
      </w:r>
      <w:proofErr w:type="gramEnd"/>
    </w:p>
    <w:p w14:paraId="619FC197" w14:textId="77777777" w:rsidR="002F6053" w:rsidRPr="00CF7173" w:rsidRDefault="002F6053" w:rsidP="00EE11DD">
      <w:pPr>
        <w:pStyle w:val="Titre3"/>
        <w:widowControl/>
      </w:pPr>
      <w:r w:rsidRPr="00CF7173">
        <w:t>The minutes will document the presence of ad hoc advisors, as well as their expertise and contributions, when applicable.</w:t>
      </w:r>
    </w:p>
    <w:p w14:paraId="48D29B24" w14:textId="77777777" w:rsidR="002F6053" w:rsidRPr="00CF7173" w:rsidRDefault="002F6053" w:rsidP="00EE11DD">
      <w:pPr>
        <w:pStyle w:val="Titre2"/>
        <w:widowControl/>
      </w:pPr>
      <w:bookmarkStart w:id="11" w:name="_Toc151382921"/>
      <w:r w:rsidRPr="00CF7173">
        <w:lastRenderedPageBreak/>
        <w:t>Observers at REB Meetings</w:t>
      </w:r>
      <w:bookmarkEnd w:id="11"/>
    </w:p>
    <w:p w14:paraId="52969363" w14:textId="77777777" w:rsidR="002F6053" w:rsidRPr="00CF7173" w:rsidRDefault="002F6053" w:rsidP="00EE11DD">
      <w:pPr>
        <w:pStyle w:val="Titre3"/>
        <w:widowControl/>
      </w:pPr>
      <w:r w:rsidRPr="00CF7173">
        <w:t xml:space="preserve">The REB may allow observers to attend its </w:t>
      </w:r>
      <w:proofErr w:type="gramStart"/>
      <w:r w:rsidRPr="00CF7173">
        <w:t>meetings;</w:t>
      </w:r>
      <w:proofErr w:type="gramEnd"/>
    </w:p>
    <w:p w14:paraId="75A11899" w14:textId="77777777" w:rsidR="002F6053" w:rsidRPr="00CF7173" w:rsidRDefault="002F6053" w:rsidP="00EE11DD">
      <w:pPr>
        <w:pStyle w:val="Titre3"/>
        <w:widowControl/>
      </w:pPr>
      <w:r w:rsidRPr="00CF7173">
        <w:t xml:space="preserve">Administrators of the institution may not serve as observers at meetings where their presence might influence REB </w:t>
      </w:r>
      <w:proofErr w:type="gramStart"/>
      <w:r w:rsidRPr="00CF7173">
        <w:t>deliberations;</w:t>
      </w:r>
      <w:proofErr w:type="gramEnd"/>
    </w:p>
    <w:p w14:paraId="4039AB67" w14:textId="77777777" w:rsidR="002F6053" w:rsidRPr="00CF7173" w:rsidRDefault="002F6053" w:rsidP="00EE11DD">
      <w:pPr>
        <w:pStyle w:val="Titre3"/>
        <w:widowControl/>
      </w:pPr>
      <w:r w:rsidRPr="00CF7173">
        <w:t xml:space="preserve">Observers will sign a </w:t>
      </w:r>
      <w:r w:rsidRPr="00CF7173">
        <w:rPr>
          <w:i/>
          <w:iCs/>
        </w:rPr>
        <w:t>Confidentiality of Information and Conflict of Interest Agreement</w:t>
      </w:r>
      <w:r w:rsidRPr="00CF7173">
        <w:t xml:space="preserve"> agreeing to abide by the REB conflict of interest and confidentiality </w:t>
      </w:r>
      <w:proofErr w:type="gramStart"/>
      <w:r w:rsidRPr="00CF7173">
        <w:t>policies;</w:t>
      </w:r>
      <w:proofErr w:type="gramEnd"/>
    </w:p>
    <w:p w14:paraId="7F717823" w14:textId="77777777" w:rsidR="002F6053" w:rsidRPr="00CF7173" w:rsidRDefault="002F6053" w:rsidP="00EE11DD">
      <w:pPr>
        <w:pStyle w:val="Titre3"/>
        <w:widowControl/>
      </w:pPr>
      <w:r w:rsidRPr="00CF7173">
        <w:t xml:space="preserve">Where the REB finds that an observer qualifies as an expert in relation to the research under consideration, the observer may be allowed to contribute input if it is relevant and significant to the </w:t>
      </w:r>
      <w:proofErr w:type="gramStart"/>
      <w:r w:rsidRPr="00CF7173">
        <w:t>discussion;</w:t>
      </w:r>
      <w:proofErr w:type="gramEnd"/>
    </w:p>
    <w:p w14:paraId="3F1AE23B" w14:textId="77777777" w:rsidR="002F6053" w:rsidRPr="00CF7173" w:rsidRDefault="002F6053" w:rsidP="00EE11DD">
      <w:pPr>
        <w:pStyle w:val="Titre3"/>
        <w:widowControl/>
      </w:pPr>
      <w:r w:rsidRPr="00CF7173">
        <w:t xml:space="preserve">Observers shall not participate in REB deliberations, consensus, or voting on the </w:t>
      </w:r>
      <w:proofErr w:type="gramStart"/>
      <w:r w:rsidRPr="00CF7173">
        <w:t>application;</w:t>
      </w:r>
      <w:proofErr w:type="gramEnd"/>
    </w:p>
    <w:p w14:paraId="0565D3AB" w14:textId="77777777" w:rsidR="002F6053" w:rsidRPr="00CF7173" w:rsidRDefault="002F6053" w:rsidP="00EE11DD">
      <w:pPr>
        <w:pStyle w:val="Titre3"/>
        <w:widowControl/>
      </w:pPr>
      <w:r w:rsidRPr="00CF7173">
        <w:t>The minutes will reflect the presence of any observers as well as his/her expertise and contributions, when applicable.</w:t>
      </w:r>
    </w:p>
    <w:p w14:paraId="2E75FF9E" w14:textId="77777777" w:rsidR="00756C58" w:rsidRPr="00CF7173" w:rsidRDefault="002E18ED" w:rsidP="00EE11DD">
      <w:pPr>
        <w:pStyle w:val="Titre1"/>
        <w:widowControl/>
      </w:pPr>
      <w:bookmarkStart w:id="12" w:name="_Toc10645072"/>
      <w:bookmarkStart w:id="13" w:name="_Toc151382922"/>
      <w:r w:rsidRPr="00CF7173">
        <w:t>R</w:t>
      </w:r>
      <w:r w:rsidR="00756C58" w:rsidRPr="00CF7173">
        <w:t>eferences</w:t>
      </w:r>
      <w:bookmarkEnd w:id="12"/>
      <w:bookmarkEnd w:id="13"/>
    </w:p>
    <w:p w14:paraId="7FDC2896" w14:textId="77777777" w:rsidR="00756C58" w:rsidRPr="00CF7173" w:rsidRDefault="00A313CE" w:rsidP="00EE11DD">
      <w:pPr>
        <w:rPr>
          <w:lang w:val="en-CA"/>
        </w:rPr>
      </w:pPr>
      <w:r w:rsidRPr="00CF7173">
        <w:rPr>
          <w:lang w:val="en-CA"/>
        </w:rPr>
        <w:t>See footnotes.</w:t>
      </w:r>
    </w:p>
    <w:p w14:paraId="3C0DFAAD" w14:textId="77777777" w:rsidR="00756C58" w:rsidRPr="00CF7173" w:rsidRDefault="002E18ED" w:rsidP="00EE11DD">
      <w:pPr>
        <w:pStyle w:val="Titre1"/>
        <w:widowControl/>
      </w:pPr>
      <w:bookmarkStart w:id="14" w:name="_Toc10645073"/>
      <w:bookmarkStart w:id="15" w:name="_Toc151382923"/>
      <w:r w:rsidRPr="00CF7173">
        <w:t>R</w:t>
      </w:r>
      <w:r w:rsidR="00756C58" w:rsidRPr="00CF7173">
        <w:t>evision History</w:t>
      </w:r>
      <w:bookmarkEnd w:id="14"/>
      <w:bookmarkEnd w:id="15"/>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CF7173" w14:paraId="64E5DB46" w14:textId="77777777" w:rsidTr="0030704D">
        <w:tc>
          <w:tcPr>
            <w:tcW w:w="2297" w:type="dxa"/>
            <w:tcBorders>
              <w:right w:val="single" w:sz="4" w:space="0" w:color="auto"/>
            </w:tcBorders>
            <w:shd w:val="clear" w:color="auto" w:fill="auto"/>
            <w:vAlign w:val="center"/>
          </w:tcPr>
          <w:p w14:paraId="7F56A62C" w14:textId="77777777" w:rsidR="00756C58" w:rsidRPr="00CF7173" w:rsidRDefault="00756C58" w:rsidP="00EE11DD">
            <w:pPr>
              <w:spacing w:before="0" w:after="0"/>
              <w:jc w:val="center"/>
              <w:rPr>
                <w:rFonts w:eastAsia="Calibri"/>
                <w:b/>
                <w:lang w:val="en-CA"/>
              </w:rPr>
            </w:pPr>
            <w:r w:rsidRPr="00CF7173">
              <w:rPr>
                <w:rFonts w:eastAsia="Calibri"/>
                <w:b/>
                <w:lang w:val="en-CA"/>
              </w:rPr>
              <w:t>SOP Code</w:t>
            </w:r>
          </w:p>
        </w:tc>
        <w:tc>
          <w:tcPr>
            <w:tcW w:w="1559" w:type="dxa"/>
            <w:tcBorders>
              <w:left w:val="single" w:sz="4" w:space="0" w:color="auto"/>
              <w:right w:val="single" w:sz="4" w:space="0" w:color="auto"/>
            </w:tcBorders>
            <w:shd w:val="clear" w:color="auto" w:fill="auto"/>
            <w:vAlign w:val="center"/>
          </w:tcPr>
          <w:p w14:paraId="3A31D255" w14:textId="77777777" w:rsidR="00756C58" w:rsidRPr="00CF7173" w:rsidRDefault="00756C58" w:rsidP="00EE11DD">
            <w:pPr>
              <w:spacing w:before="0" w:after="0"/>
              <w:jc w:val="center"/>
              <w:rPr>
                <w:rFonts w:eastAsia="Calibri"/>
                <w:b/>
                <w:lang w:val="en-CA"/>
              </w:rPr>
            </w:pPr>
            <w:r w:rsidRPr="00CF7173">
              <w:rPr>
                <w:rFonts w:eastAsia="Calibri"/>
                <w:b/>
                <w:lang w:val="en-CA"/>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45ED388" w14:textId="77777777" w:rsidR="00756C58" w:rsidRPr="00CF7173" w:rsidRDefault="00756C58" w:rsidP="00EE11DD">
            <w:pPr>
              <w:spacing w:before="0" w:after="0"/>
              <w:jc w:val="left"/>
              <w:rPr>
                <w:rFonts w:eastAsia="Calibri"/>
                <w:b/>
                <w:lang w:val="en-CA"/>
              </w:rPr>
            </w:pPr>
            <w:r w:rsidRPr="00CF7173">
              <w:rPr>
                <w:rFonts w:eastAsia="Calibri"/>
                <w:b/>
                <w:lang w:val="en-CA"/>
              </w:rPr>
              <w:t>Summary of Changes</w:t>
            </w:r>
          </w:p>
        </w:tc>
      </w:tr>
      <w:tr w:rsidR="00756C58" w:rsidRPr="00CF7173" w14:paraId="64FB1FD0" w14:textId="77777777" w:rsidTr="0030704D">
        <w:tc>
          <w:tcPr>
            <w:tcW w:w="2297" w:type="dxa"/>
            <w:tcBorders>
              <w:right w:val="single" w:sz="4" w:space="0" w:color="auto"/>
            </w:tcBorders>
            <w:shd w:val="clear" w:color="auto" w:fill="auto"/>
            <w:vAlign w:val="center"/>
          </w:tcPr>
          <w:p w14:paraId="611A0896" w14:textId="3909075F" w:rsidR="00756C58" w:rsidRPr="00CF7173" w:rsidRDefault="00756C58" w:rsidP="00EE11DD">
            <w:pPr>
              <w:spacing w:before="0" w:after="0"/>
              <w:jc w:val="left"/>
              <w:rPr>
                <w:rFonts w:eastAsia="Calibri" w:cs="Arial"/>
                <w:lang w:val="en-CA"/>
              </w:rPr>
            </w:pPr>
            <w:r w:rsidRPr="00CF7173">
              <w:rPr>
                <w:rFonts w:eastAsia="Calibri"/>
                <w:lang w:val="en-CA"/>
              </w:rPr>
              <w:t>REB</w:t>
            </w:r>
            <w:r w:rsidR="00660163" w:rsidRPr="00CF7173">
              <w:rPr>
                <w:rFonts w:eastAsia="Calibri"/>
                <w:lang w:val="en-CA"/>
              </w:rPr>
              <w:t>-</w:t>
            </w:r>
            <w:r w:rsidRPr="00CF7173">
              <w:rPr>
                <w:rFonts w:eastAsia="Calibri"/>
                <w:lang w:val="en-CA"/>
              </w:rPr>
              <w:t>SOP</w:t>
            </w:r>
            <w:r w:rsidR="00660163" w:rsidRPr="00CF7173">
              <w:rPr>
                <w:rFonts w:eastAsia="Calibri"/>
                <w:lang w:val="en-CA"/>
              </w:rPr>
              <w:t xml:space="preserve"> </w:t>
            </w:r>
            <w:r w:rsidR="00FE6AD1" w:rsidRPr="00CF7173">
              <w:rPr>
                <w:rFonts w:eastAsia="Calibri"/>
                <w:lang w:val="en-CA"/>
              </w:rPr>
              <w:t>201</w:t>
            </w:r>
            <w:r w:rsidR="00B03D06" w:rsidRPr="00CF7173">
              <w:rPr>
                <w:rFonts w:eastAsia="Calibri"/>
                <w:lang w:val="en-CA"/>
              </w:rPr>
              <w:t>-</w:t>
            </w:r>
            <w:r w:rsidR="00FE6AD1" w:rsidRPr="00CF7173">
              <w:rPr>
                <w:rFonts w:eastAsia="Calibri"/>
                <w:lang w:val="en-CA"/>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C83B82" w14:textId="31042BF9" w:rsidR="00756C58" w:rsidRPr="00CF7173" w:rsidRDefault="00B03D06" w:rsidP="00EE11DD">
            <w:pPr>
              <w:spacing w:before="0" w:after="0"/>
              <w:jc w:val="center"/>
              <w:rPr>
                <w:rFonts w:eastAsia="Calibri"/>
                <w:lang w:val="en-CA"/>
              </w:rPr>
            </w:pPr>
            <w:r w:rsidRPr="00CF7173">
              <w:rPr>
                <w:rFonts w:eastAsia="Calibri"/>
                <w:lang w:val="en-CA"/>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29FBBFA" w14:textId="77777777" w:rsidR="00756C58" w:rsidRPr="00CF7173" w:rsidRDefault="00756C58" w:rsidP="00EE11DD">
            <w:pPr>
              <w:spacing w:before="0" w:after="0"/>
              <w:jc w:val="left"/>
              <w:rPr>
                <w:rFonts w:eastAsia="Calibri"/>
                <w:lang w:val="en-CA"/>
              </w:rPr>
            </w:pPr>
            <w:r w:rsidRPr="00CF7173">
              <w:rPr>
                <w:rFonts w:eastAsia="Calibri"/>
                <w:lang w:val="en-CA"/>
              </w:rPr>
              <w:t xml:space="preserve">Original </w:t>
            </w:r>
            <w:r w:rsidR="00B43B4B" w:rsidRPr="00CF7173">
              <w:rPr>
                <w:rFonts w:eastAsia="Calibri"/>
                <w:lang w:val="en-CA"/>
              </w:rPr>
              <w:t>v</w:t>
            </w:r>
            <w:r w:rsidRPr="00CF7173">
              <w:rPr>
                <w:rFonts w:eastAsia="Calibri"/>
                <w:lang w:val="en-CA"/>
              </w:rPr>
              <w:t>ersion</w:t>
            </w:r>
          </w:p>
        </w:tc>
      </w:tr>
      <w:tr w:rsidR="00B03D06" w:rsidRPr="00CF7173" w14:paraId="48AABAD9" w14:textId="77777777" w:rsidTr="0030704D">
        <w:tc>
          <w:tcPr>
            <w:tcW w:w="2297" w:type="dxa"/>
            <w:tcBorders>
              <w:right w:val="single" w:sz="4" w:space="0" w:color="auto"/>
            </w:tcBorders>
            <w:shd w:val="clear" w:color="auto" w:fill="auto"/>
            <w:vAlign w:val="center"/>
          </w:tcPr>
          <w:p w14:paraId="11005F08" w14:textId="0568145D" w:rsidR="00B03D06" w:rsidRPr="00CF7173" w:rsidRDefault="00B03D06" w:rsidP="00B03D06">
            <w:pPr>
              <w:spacing w:before="0" w:after="0"/>
              <w:jc w:val="left"/>
              <w:rPr>
                <w:rFonts w:eastAsia="Calibri"/>
                <w:lang w:val="en-CA"/>
              </w:rPr>
            </w:pPr>
            <w:r w:rsidRPr="00CF7173">
              <w:rPr>
                <w:rFonts w:eastAsia="Calibri"/>
                <w:lang w:val="en-CA"/>
              </w:rPr>
              <w:t>REB-SOP 201</w:t>
            </w:r>
            <w:r w:rsidR="0052590A" w:rsidRPr="00CF7173">
              <w:rPr>
                <w:rFonts w:eastAsia="Calibri"/>
                <w:lang w:val="en-CA"/>
              </w:rPr>
              <w:t>-</w:t>
            </w:r>
            <w:r w:rsidRPr="00CF7173">
              <w:rPr>
                <w:rFonts w:eastAsia="Calibri"/>
                <w:lang w:val="en-CA"/>
              </w:rPr>
              <w:t>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4A8208" w14:textId="5F187697" w:rsidR="00B03D06" w:rsidRPr="00CF7173" w:rsidRDefault="00B03D06" w:rsidP="00B03D06">
            <w:pPr>
              <w:spacing w:before="0" w:after="0"/>
              <w:jc w:val="center"/>
              <w:rPr>
                <w:rFonts w:eastAsia="Calibri"/>
                <w:lang w:val="en-CA"/>
              </w:rPr>
            </w:pPr>
            <w:r w:rsidRPr="00CF7173">
              <w:rPr>
                <w:rFonts w:eastAsia="Calibri"/>
                <w:lang w:val="en-CA"/>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626731F" w14:textId="77777777" w:rsidR="00B03D06" w:rsidRPr="00CF7173" w:rsidRDefault="00B03D06" w:rsidP="00B03D06">
            <w:pPr>
              <w:spacing w:before="0" w:after="0"/>
              <w:jc w:val="left"/>
              <w:rPr>
                <w:rFonts w:eastAsia="Calibri"/>
                <w:lang w:val="en-CA"/>
              </w:rPr>
            </w:pPr>
            <w:r w:rsidRPr="00CF7173">
              <w:rPr>
                <w:rFonts w:eastAsia="Calibri"/>
                <w:lang w:val="en-CA"/>
              </w:rPr>
              <w:t xml:space="preserve">Updated in line with regulations in </w:t>
            </w:r>
            <w:proofErr w:type="gramStart"/>
            <w:r w:rsidRPr="00CF7173">
              <w:rPr>
                <w:rFonts w:eastAsia="Calibri"/>
                <w:lang w:val="en-CA"/>
              </w:rPr>
              <w:t>effect</w:t>
            </w:r>
            <w:proofErr w:type="gramEnd"/>
          </w:p>
          <w:p w14:paraId="036B5BBB" w14:textId="20B88D39" w:rsidR="00B03D06" w:rsidRPr="00CF7173" w:rsidRDefault="00B03D06" w:rsidP="00B03D06">
            <w:pPr>
              <w:spacing w:before="0" w:after="0"/>
              <w:jc w:val="left"/>
              <w:rPr>
                <w:rFonts w:eastAsia="Calibri"/>
                <w:lang w:val="en-CA"/>
              </w:rPr>
            </w:pPr>
            <w:r w:rsidRPr="00CF7173">
              <w:rPr>
                <w:rFonts w:eastAsia="Calibri"/>
                <w:lang w:val="en-CA"/>
              </w:rPr>
              <w:t>Updated references</w:t>
            </w:r>
          </w:p>
        </w:tc>
      </w:tr>
      <w:tr w:rsidR="00756C58" w:rsidRPr="00CF7173" w14:paraId="144BE5A3" w14:textId="77777777" w:rsidTr="0030704D">
        <w:tc>
          <w:tcPr>
            <w:tcW w:w="2297" w:type="dxa"/>
            <w:tcBorders>
              <w:right w:val="single" w:sz="4" w:space="0" w:color="auto"/>
            </w:tcBorders>
            <w:shd w:val="clear" w:color="auto" w:fill="auto"/>
            <w:vAlign w:val="center"/>
          </w:tcPr>
          <w:p w14:paraId="58CEED39" w14:textId="77777777" w:rsidR="00756C58" w:rsidRPr="00CF7173" w:rsidRDefault="00756C58" w:rsidP="00EE11DD">
            <w:pPr>
              <w:spacing w:before="0" w:after="0"/>
              <w:jc w:val="left"/>
              <w:rPr>
                <w:rFonts w:eastAsia="Calibri"/>
                <w:lang w:val="en-CA"/>
              </w:rPr>
            </w:pPr>
          </w:p>
        </w:tc>
        <w:tc>
          <w:tcPr>
            <w:tcW w:w="1559" w:type="dxa"/>
            <w:tcBorders>
              <w:top w:val="single" w:sz="4" w:space="0" w:color="auto"/>
              <w:left w:val="single" w:sz="4" w:space="0" w:color="auto"/>
              <w:right w:val="single" w:sz="4" w:space="0" w:color="auto"/>
            </w:tcBorders>
            <w:shd w:val="clear" w:color="auto" w:fill="auto"/>
            <w:vAlign w:val="center"/>
          </w:tcPr>
          <w:p w14:paraId="156F8E1C" w14:textId="77777777" w:rsidR="00756C58" w:rsidRPr="00CF7173" w:rsidRDefault="00756C58" w:rsidP="00EE11DD">
            <w:pPr>
              <w:spacing w:before="0" w:after="0"/>
              <w:jc w:val="center"/>
              <w:rPr>
                <w:rFonts w:eastAsia="Calibri"/>
                <w:lang w:val="en-CA"/>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3AB78F3" w14:textId="77777777" w:rsidR="00756C58" w:rsidRPr="00CF7173" w:rsidRDefault="00756C58" w:rsidP="00EE11DD">
            <w:pPr>
              <w:spacing w:before="0" w:after="0"/>
              <w:jc w:val="left"/>
              <w:rPr>
                <w:rFonts w:eastAsia="Calibri"/>
                <w:lang w:val="en-CA"/>
              </w:rPr>
            </w:pPr>
          </w:p>
        </w:tc>
      </w:tr>
    </w:tbl>
    <w:p w14:paraId="3EB54C4C" w14:textId="77777777" w:rsidR="00756C58" w:rsidRPr="00CF7173" w:rsidRDefault="002E18ED" w:rsidP="00EE11DD">
      <w:pPr>
        <w:pStyle w:val="Titre1"/>
        <w:widowControl/>
      </w:pPr>
      <w:bookmarkStart w:id="16" w:name="_Toc10645074"/>
      <w:bookmarkStart w:id="17" w:name="_Toc151382924"/>
      <w:r w:rsidRPr="00CF7173">
        <w:t>Appendices</w:t>
      </w:r>
      <w:bookmarkEnd w:id="16"/>
      <w:bookmarkEnd w:id="17"/>
    </w:p>
    <w:p w14:paraId="4C3CCE49" w14:textId="77777777" w:rsidR="00756C58" w:rsidRPr="00CF7173" w:rsidRDefault="00756C58" w:rsidP="00EE11DD">
      <w:pPr>
        <w:rPr>
          <w:lang w:val="en-CA"/>
        </w:rPr>
      </w:pPr>
    </w:p>
    <w:sectPr w:rsidR="00756C58" w:rsidRPr="00CF7173"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89A6" w14:textId="77777777" w:rsidR="00346C48" w:rsidRDefault="00346C48" w:rsidP="0030269A">
      <w:pPr>
        <w:spacing w:before="0" w:after="0"/>
      </w:pPr>
      <w:r>
        <w:separator/>
      </w:r>
    </w:p>
  </w:endnote>
  <w:endnote w:type="continuationSeparator" w:id="0">
    <w:p w14:paraId="0745C25C" w14:textId="77777777" w:rsidR="00346C48" w:rsidRDefault="00346C48"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7139" w14:textId="77777777" w:rsidR="002E18ED" w:rsidRPr="00627E38" w:rsidRDefault="002E18ED" w:rsidP="002E18ED">
    <w:pPr>
      <w:pStyle w:val="Pieddepage"/>
      <w:pBdr>
        <w:bottom w:val="single" w:sz="4" w:space="1" w:color="auto"/>
      </w:pBdr>
      <w:rPr>
        <w:sz w:val="20"/>
        <w:szCs w:val="20"/>
      </w:rPr>
    </w:pPr>
  </w:p>
  <w:p w14:paraId="0508572D" w14:textId="1650A8C0"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B721B7">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95B66" w14:textId="77777777" w:rsidR="00346C48" w:rsidRDefault="00346C48" w:rsidP="0030269A">
      <w:pPr>
        <w:spacing w:before="0" w:after="0"/>
      </w:pPr>
      <w:r>
        <w:separator/>
      </w:r>
    </w:p>
  </w:footnote>
  <w:footnote w:type="continuationSeparator" w:id="0">
    <w:p w14:paraId="00ED27D9" w14:textId="77777777" w:rsidR="00346C48" w:rsidRDefault="00346C48" w:rsidP="0030269A">
      <w:pPr>
        <w:spacing w:before="0" w:after="0"/>
      </w:pPr>
      <w:r>
        <w:continuationSeparator/>
      </w:r>
    </w:p>
  </w:footnote>
  <w:footnote w:id="1">
    <w:p w14:paraId="261854A3" w14:textId="25F2FA2E" w:rsidR="002F6053" w:rsidRPr="00726F4A" w:rsidRDefault="002F6053" w:rsidP="002F6053">
      <w:pPr>
        <w:pStyle w:val="Notedebasdepage"/>
        <w:jc w:val="left"/>
        <w:rPr>
          <w:lang w:val="en-CA"/>
        </w:rPr>
      </w:pPr>
      <w:r w:rsidRPr="00726F4A">
        <w:rPr>
          <w:rStyle w:val="Appelnotedebasdep"/>
          <w:lang w:val="en-CA"/>
        </w:rPr>
        <w:footnoteRef/>
      </w:r>
      <w:r w:rsidRPr="00726F4A">
        <w:rPr>
          <w:lang w:val="en-CA"/>
        </w:rPr>
        <w:t xml:space="preserve"> </w:t>
      </w:r>
      <w:r w:rsidRPr="00726F4A">
        <w:rPr>
          <w:lang w:val="en-CA"/>
        </w:rPr>
        <w:tab/>
      </w:r>
      <w:r w:rsidR="00B721B7" w:rsidRPr="00726F4A">
        <w:rPr>
          <w:lang w:val="en-CA"/>
        </w:rPr>
        <w:t>Guidance Document:</w:t>
      </w:r>
      <w:r w:rsidRPr="00726F4A">
        <w:rPr>
          <w:lang w:val="en-CA"/>
        </w:rPr>
        <w:t xml:space="preserve"> Good Clinical Practice</w:t>
      </w:r>
      <w:r w:rsidR="00B721B7" w:rsidRPr="00726F4A">
        <w:rPr>
          <w:lang w:val="en-CA"/>
        </w:rPr>
        <w:t>: Integrated Addendum to</w:t>
      </w:r>
      <w:r w:rsidRPr="00726F4A">
        <w:rPr>
          <w:lang w:val="en-CA"/>
        </w:rPr>
        <w:t xml:space="preserve"> E6(R1)</w:t>
      </w:r>
      <w:r w:rsidR="00B721B7" w:rsidRPr="00726F4A">
        <w:rPr>
          <w:lang w:val="en-CA"/>
        </w:rPr>
        <w:t xml:space="preserve"> ICH Topic E6(R2)</w:t>
      </w:r>
      <w:r w:rsidRPr="00726F4A">
        <w:rPr>
          <w:lang w:val="en-CA"/>
        </w:rPr>
        <w:t xml:space="preserve">, Health Canada, </w:t>
      </w:r>
      <w:r w:rsidR="00B721B7" w:rsidRPr="00726F4A">
        <w:rPr>
          <w:lang w:val="en-CA"/>
        </w:rPr>
        <w:t>April 2019</w:t>
      </w:r>
      <w:r w:rsidRPr="00726F4A">
        <w:rPr>
          <w:lang w:val="en-CA"/>
        </w:rPr>
        <w:t>, hereafter “ICH GCP”,</w:t>
      </w:r>
      <w:r w:rsidRPr="00726F4A">
        <w:rPr>
          <w:i/>
          <w:lang w:val="en-CA"/>
        </w:rPr>
        <w:t xml:space="preserve"> </w:t>
      </w:r>
      <w:r w:rsidR="00B721B7" w:rsidRPr="00726F4A">
        <w:rPr>
          <w:lang w:val="en-CA"/>
        </w:rPr>
        <w:t>art</w:t>
      </w:r>
      <w:r w:rsidRPr="00726F4A">
        <w:rPr>
          <w:lang w:val="en-CA"/>
        </w:rPr>
        <w:t>. 3.2.1.</w:t>
      </w:r>
      <w:r w:rsidR="00B721B7" w:rsidRPr="00726F4A">
        <w:rPr>
          <w:lang w:val="en-CA"/>
        </w:rPr>
        <w:t xml:space="preserve"> See also </w:t>
      </w:r>
      <w:r w:rsidR="0003761D">
        <w:rPr>
          <w:lang w:val="en-CA"/>
        </w:rPr>
        <w:t>REB-</w:t>
      </w:r>
      <w:r w:rsidR="00B721B7" w:rsidRPr="00726F4A">
        <w:rPr>
          <w:lang w:val="en-CA"/>
        </w:rPr>
        <w:t>SOP 101-002, s 5.3.</w:t>
      </w:r>
    </w:p>
  </w:footnote>
  <w:footnote w:id="2">
    <w:p w14:paraId="0E73BEB2" w14:textId="77777777" w:rsidR="002F6053" w:rsidRPr="00726F4A" w:rsidRDefault="002F6053" w:rsidP="002F6053">
      <w:pPr>
        <w:pStyle w:val="Notedebasdepage"/>
        <w:jc w:val="left"/>
        <w:rPr>
          <w:lang w:val="en-CA"/>
        </w:rPr>
      </w:pPr>
      <w:r w:rsidRPr="00726F4A">
        <w:rPr>
          <w:rStyle w:val="Appelnotedebasdep"/>
          <w:lang w:val="en-CA"/>
        </w:rPr>
        <w:footnoteRef/>
      </w:r>
      <w:r w:rsidRPr="00726F4A">
        <w:rPr>
          <w:lang w:val="en-CA"/>
        </w:rPr>
        <w:t xml:space="preserve"> </w:t>
      </w:r>
      <w:r w:rsidRPr="00726F4A">
        <w:rPr>
          <w:lang w:val="en-CA"/>
        </w:rPr>
        <w:tab/>
        <w:t>Operational Guidelines for Ethics Committees that Review Biomedical Research, World Health Organization (WHO), 2000, hereafter “TDR”, s. 4.</w:t>
      </w:r>
    </w:p>
  </w:footnote>
  <w:footnote w:id="3">
    <w:p w14:paraId="09675F1A" w14:textId="283DB532" w:rsidR="002F6053" w:rsidRPr="00726F4A" w:rsidRDefault="002F6053" w:rsidP="002F6053">
      <w:pPr>
        <w:pStyle w:val="Notedebasdepage"/>
        <w:jc w:val="left"/>
        <w:rPr>
          <w:lang w:val="en-CA"/>
        </w:rPr>
      </w:pPr>
      <w:r w:rsidRPr="00726F4A">
        <w:rPr>
          <w:rStyle w:val="Appelnotedebasdep"/>
          <w:rFonts w:ascii="Arial" w:hAnsi="Arial" w:cs="Arial"/>
          <w:lang w:val="en-CA"/>
        </w:rPr>
        <w:footnoteRef/>
      </w:r>
      <w:r w:rsidRPr="00726F4A">
        <w:rPr>
          <w:lang w:val="en-CA"/>
        </w:rPr>
        <w:t xml:space="preserve"> </w:t>
      </w:r>
      <w:r w:rsidRPr="00726F4A">
        <w:rPr>
          <w:lang w:val="en-CA"/>
        </w:rPr>
        <w:tab/>
      </w:r>
      <w:r w:rsidRPr="00726F4A">
        <w:rPr>
          <w:i/>
          <w:lang w:val="en-CA"/>
        </w:rPr>
        <w:t xml:space="preserve">Avis sur les conditions </w:t>
      </w:r>
      <w:proofErr w:type="spellStart"/>
      <w:r w:rsidRPr="00726F4A">
        <w:rPr>
          <w:i/>
          <w:lang w:val="en-CA"/>
        </w:rPr>
        <w:t>d’exercice</w:t>
      </w:r>
      <w:proofErr w:type="spellEnd"/>
      <w:r w:rsidRPr="00726F4A">
        <w:rPr>
          <w:i/>
          <w:lang w:val="en-CA"/>
        </w:rPr>
        <w:t xml:space="preserve"> des </w:t>
      </w:r>
      <w:proofErr w:type="spellStart"/>
      <w:r w:rsidRPr="00726F4A">
        <w:rPr>
          <w:i/>
          <w:lang w:val="en-CA"/>
        </w:rPr>
        <w:t>comités</w:t>
      </w:r>
      <w:proofErr w:type="spellEnd"/>
      <w:r w:rsidRPr="00726F4A">
        <w:rPr>
          <w:i/>
          <w:lang w:val="en-CA"/>
        </w:rPr>
        <w:t xml:space="preserve"> </w:t>
      </w:r>
      <w:proofErr w:type="spellStart"/>
      <w:r w:rsidRPr="00726F4A">
        <w:rPr>
          <w:i/>
          <w:lang w:val="en-CA"/>
        </w:rPr>
        <w:t>d’éthique</w:t>
      </w:r>
      <w:proofErr w:type="spellEnd"/>
      <w:r w:rsidRPr="00726F4A">
        <w:rPr>
          <w:i/>
          <w:lang w:val="en-CA"/>
        </w:rPr>
        <w:t xml:space="preserve"> de la recherche </w:t>
      </w:r>
      <w:proofErr w:type="spellStart"/>
      <w:r w:rsidRPr="00726F4A">
        <w:rPr>
          <w:i/>
          <w:lang w:val="en-CA"/>
        </w:rPr>
        <w:t>désignés</w:t>
      </w:r>
      <w:proofErr w:type="spellEnd"/>
      <w:r w:rsidRPr="00726F4A">
        <w:rPr>
          <w:i/>
          <w:lang w:val="en-CA"/>
        </w:rPr>
        <w:t xml:space="preserve"> </w:t>
      </w:r>
      <w:proofErr w:type="spellStart"/>
      <w:r w:rsidRPr="00726F4A">
        <w:rPr>
          <w:i/>
          <w:lang w:val="en-CA"/>
        </w:rPr>
        <w:t>ou</w:t>
      </w:r>
      <w:proofErr w:type="spellEnd"/>
      <w:r w:rsidRPr="00726F4A">
        <w:rPr>
          <w:i/>
          <w:lang w:val="en-CA"/>
        </w:rPr>
        <w:t xml:space="preserve"> </w:t>
      </w:r>
      <w:proofErr w:type="spellStart"/>
      <w:r w:rsidRPr="00726F4A">
        <w:rPr>
          <w:i/>
          <w:lang w:val="en-CA"/>
        </w:rPr>
        <w:t>institués</w:t>
      </w:r>
      <w:proofErr w:type="spellEnd"/>
      <w:r w:rsidRPr="00726F4A">
        <w:rPr>
          <w:i/>
          <w:lang w:val="en-CA"/>
        </w:rPr>
        <w:t xml:space="preserve"> par le </w:t>
      </w:r>
      <w:proofErr w:type="spellStart"/>
      <w:r w:rsidRPr="00726F4A">
        <w:rPr>
          <w:i/>
          <w:lang w:val="en-CA"/>
        </w:rPr>
        <w:t>ministre</w:t>
      </w:r>
      <w:proofErr w:type="spellEnd"/>
      <w:r w:rsidRPr="00726F4A">
        <w:rPr>
          <w:i/>
          <w:lang w:val="en-CA"/>
        </w:rPr>
        <w:t xml:space="preserve"> de la </w:t>
      </w:r>
      <w:proofErr w:type="spellStart"/>
      <w:r w:rsidRPr="00726F4A">
        <w:rPr>
          <w:i/>
          <w:lang w:val="en-CA"/>
        </w:rPr>
        <w:t>Santé</w:t>
      </w:r>
      <w:proofErr w:type="spellEnd"/>
      <w:r w:rsidRPr="00726F4A">
        <w:rPr>
          <w:i/>
          <w:lang w:val="en-CA"/>
        </w:rPr>
        <w:t xml:space="preserve"> et des Services </w:t>
      </w:r>
      <w:proofErr w:type="spellStart"/>
      <w:r w:rsidRPr="00726F4A">
        <w:rPr>
          <w:i/>
          <w:lang w:val="en-CA"/>
        </w:rPr>
        <w:t>sociaux</w:t>
      </w:r>
      <w:proofErr w:type="spellEnd"/>
      <w:r w:rsidRPr="00726F4A">
        <w:rPr>
          <w:i/>
          <w:lang w:val="en-CA"/>
        </w:rPr>
        <w:t xml:space="preserve"> </w:t>
      </w:r>
      <w:proofErr w:type="spellStart"/>
      <w:r w:rsidRPr="00726F4A">
        <w:rPr>
          <w:i/>
          <w:lang w:val="en-CA"/>
        </w:rPr>
        <w:t>en</w:t>
      </w:r>
      <w:proofErr w:type="spellEnd"/>
      <w:r w:rsidRPr="00726F4A">
        <w:rPr>
          <w:i/>
          <w:lang w:val="en-CA"/>
        </w:rPr>
        <w:t xml:space="preserve"> vertu de </w:t>
      </w:r>
      <w:proofErr w:type="spellStart"/>
      <w:r w:rsidRPr="00726F4A">
        <w:rPr>
          <w:i/>
          <w:lang w:val="en-CA"/>
        </w:rPr>
        <w:t>l’article</w:t>
      </w:r>
      <w:proofErr w:type="spellEnd"/>
      <w:r w:rsidRPr="00726F4A">
        <w:rPr>
          <w:i/>
          <w:lang w:val="en-CA"/>
        </w:rPr>
        <w:t xml:space="preserve"> 21 du Code civil, Gazette </w:t>
      </w:r>
      <w:proofErr w:type="spellStart"/>
      <w:r w:rsidRPr="00726F4A">
        <w:rPr>
          <w:i/>
          <w:lang w:val="en-CA"/>
        </w:rPr>
        <w:t>officielle</w:t>
      </w:r>
      <w:proofErr w:type="spellEnd"/>
      <w:r w:rsidRPr="00726F4A">
        <w:rPr>
          <w:i/>
          <w:lang w:val="en-CA"/>
        </w:rPr>
        <w:t xml:space="preserve"> du Québec, Part I, vol. 35, 1998, hereafter “Avis”,</w:t>
      </w:r>
      <w:r w:rsidRPr="00726F4A">
        <w:rPr>
          <w:lang w:val="en-CA"/>
        </w:rPr>
        <w:t xml:space="preserve"> p. 1039; </w:t>
      </w:r>
      <w:r w:rsidRPr="00726F4A">
        <w:rPr>
          <w:i/>
          <w:lang w:val="en-CA"/>
        </w:rPr>
        <w:t>Food and Drug Regulations</w:t>
      </w:r>
      <w:r w:rsidRPr="00726F4A">
        <w:rPr>
          <w:lang w:val="en-CA"/>
        </w:rPr>
        <w:t>, C.R.C., c. 870, art. C.05.001, definition of Research Ethics Board; ICH GCP, s. 3.2.1 (a); Canadian Institutes of Health Research, Natural Sciences and Engineering Research Council of Canada, and Social Sciences and Humanities Research Council of Canada, Tri-Council Policy Statement: Ethical Conduct for Research Involving Humans, December 201</w:t>
      </w:r>
      <w:r w:rsidR="00E445A4" w:rsidRPr="00726F4A">
        <w:rPr>
          <w:lang w:val="en-CA"/>
        </w:rPr>
        <w:t>8, hereafter</w:t>
      </w:r>
      <w:r w:rsidRPr="00726F4A">
        <w:rPr>
          <w:lang w:val="en-CA"/>
        </w:rPr>
        <w:t xml:space="preserve"> </w:t>
      </w:r>
      <w:r w:rsidR="00E445A4" w:rsidRPr="00726F4A">
        <w:rPr>
          <w:lang w:val="en-CA"/>
        </w:rPr>
        <w:t>“</w:t>
      </w:r>
      <w:r w:rsidRPr="00726F4A">
        <w:rPr>
          <w:lang w:val="en-CA"/>
        </w:rPr>
        <w:t>TCPS2</w:t>
      </w:r>
      <w:r w:rsidR="00E445A4" w:rsidRPr="00726F4A">
        <w:rPr>
          <w:lang w:val="en-CA"/>
        </w:rPr>
        <w:t>”</w:t>
      </w:r>
      <w:r w:rsidRPr="00726F4A">
        <w:rPr>
          <w:lang w:val="en-CA"/>
        </w:rPr>
        <w:t>, art. 6.4.</w:t>
      </w:r>
    </w:p>
  </w:footnote>
  <w:footnote w:id="4">
    <w:p w14:paraId="6227B35A" w14:textId="57E785B2" w:rsidR="00E445A4" w:rsidRPr="00726F4A" w:rsidRDefault="00E445A4">
      <w:pPr>
        <w:pStyle w:val="Notedebasdepage"/>
        <w:rPr>
          <w:lang w:val="en-CA"/>
        </w:rPr>
      </w:pPr>
      <w:r w:rsidRPr="00726F4A">
        <w:rPr>
          <w:rStyle w:val="Appelnotedebasdep"/>
          <w:lang w:val="en-CA"/>
        </w:rPr>
        <w:footnoteRef/>
      </w:r>
      <w:r w:rsidRPr="00726F4A">
        <w:rPr>
          <w:lang w:val="en-CA"/>
        </w:rPr>
        <w:t xml:space="preserve"> </w:t>
      </w:r>
      <w:r w:rsidRPr="00726F4A">
        <w:rPr>
          <w:lang w:val="en-CA"/>
        </w:rPr>
        <w:tab/>
      </w:r>
      <w:r w:rsidRPr="00726F4A">
        <w:rPr>
          <w:i/>
          <w:lang w:val="en-CA"/>
        </w:rPr>
        <w:t>Avis</w:t>
      </w:r>
      <w:r w:rsidRPr="00726F4A">
        <w:rPr>
          <w:lang w:val="en-CA"/>
        </w:rPr>
        <w:t xml:space="preserve">, p. 1039; </w:t>
      </w:r>
      <w:r w:rsidRPr="00726F4A">
        <w:rPr>
          <w:i/>
          <w:lang w:val="en-CA"/>
        </w:rPr>
        <w:t>Food and Drug Regulations</w:t>
      </w:r>
      <w:r w:rsidRPr="00726F4A">
        <w:rPr>
          <w:lang w:val="en-CA"/>
        </w:rPr>
        <w:t>, Division 5 – Clinical Trials (SOR/2001-2002), art. C.05.001 (b) (</w:t>
      </w:r>
      <w:proofErr w:type="spellStart"/>
      <w:r w:rsidRPr="00726F4A">
        <w:rPr>
          <w:lang w:val="en-CA"/>
        </w:rPr>
        <w:t>i</w:t>
      </w:r>
      <w:proofErr w:type="spellEnd"/>
      <w:r w:rsidRPr="00726F4A">
        <w:rPr>
          <w:lang w:val="en-CA"/>
        </w:rPr>
        <w:t>); TCPS2, art. 6.4 (a).</w:t>
      </w:r>
    </w:p>
  </w:footnote>
  <w:footnote w:id="5">
    <w:p w14:paraId="76A4E73D" w14:textId="3DC2973C" w:rsidR="002F6053" w:rsidRPr="00726F4A" w:rsidRDefault="002F6053" w:rsidP="002F6053">
      <w:pPr>
        <w:pStyle w:val="Notedebasdepage"/>
        <w:jc w:val="left"/>
        <w:rPr>
          <w:lang w:val="en-CA"/>
        </w:rPr>
      </w:pPr>
      <w:r w:rsidRPr="00726F4A">
        <w:rPr>
          <w:rStyle w:val="Appelnotedebasdep"/>
          <w:rFonts w:ascii="Arial" w:hAnsi="Arial" w:cs="Arial"/>
          <w:lang w:val="en-CA"/>
        </w:rPr>
        <w:footnoteRef/>
      </w:r>
      <w:r w:rsidRPr="00726F4A">
        <w:rPr>
          <w:lang w:val="en-CA"/>
        </w:rPr>
        <w:t xml:space="preserve"> </w:t>
      </w:r>
      <w:r w:rsidRPr="00726F4A">
        <w:rPr>
          <w:lang w:val="en-CA"/>
        </w:rPr>
        <w:tab/>
      </w:r>
      <w:r w:rsidRPr="00726F4A">
        <w:rPr>
          <w:i/>
          <w:lang w:val="en-CA"/>
        </w:rPr>
        <w:t>Avis</w:t>
      </w:r>
      <w:r w:rsidRPr="00726F4A">
        <w:rPr>
          <w:lang w:val="en-CA"/>
        </w:rPr>
        <w:t xml:space="preserve">, p. 1039; </w:t>
      </w:r>
      <w:r w:rsidRPr="00726F4A">
        <w:rPr>
          <w:i/>
          <w:lang w:val="en-CA"/>
        </w:rPr>
        <w:t>Food and Drug Regulations</w:t>
      </w:r>
      <w:r w:rsidRPr="00726F4A">
        <w:rPr>
          <w:lang w:val="en-CA"/>
        </w:rPr>
        <w:t>, art. C.05.001 (b) (ii); TCPS2, art. 6.4 (b).</w:t>
      </w:r>
    </w:p>
  </w:footnote>
  <w:footnote w:id="6">
    <w:p w14:paraId="2F48198E" w14:textId="5FE9C6CE" w:rsidR="002F6053" w:rsidRPr="00726F4A" w:rsidRDefault="002F6053" w:rsidP="002F6053">
      <w:pPr>
        <w:pStyle w:val="Notedebasdepage"/>
        <w:jc w:val="left"/>
        <w:rPr>
          <w:lang w:val="en-CA"/>
        </w:rPr>
      </w:pPr>
      <w:r w:rsidRPr="00726F4A">
        <w:rPr>
          <w:rStyle w:val="Appelnotedebasdep"/>
          <w:rFonts w:ascii="Arial" w:hAnsi="Arial" w:cs="Arial"/>
          <w:lang w:val="en-CA"/>
        </w:rPr>
        <w:footnoteRef/>
      </w:r>
      <w:r w:rsidRPr="00726F4A">
        <w:rPr>
          <w:lang w:val="en-CA"/>
        </w:rPr>
        <w:t xml:space="preserve"> </w:t>
      </w:r>
      <w:r w:rsidRPr="00726F4A">
        <w:rPr>
          <w:lang w:val="en-CA"/>
        </w:rPr>
        <w:tab/>
      </w:r>
      <w:r w:rsidRPr="00726F4A">
        <w:rPr>
          <w:i/>
          <w:lang w:val="en-CA"/>
        </w:rPr>
        <w:t>Avis</w:t>
      </w:r>
      <w:r w:rsidRPr="00726F4A">
        <w:rPr>
          <w:lang w:val="en-CA"/>
        </w:rPr>
        <w:t xml:space="preserve">, p. 1039; </w:t>
      </w:r>
      <w:r w:rsidRPr="00726F4A">
        <w:rPr>
          <w:i/>
          <w:lang w:val="en-CA"/>
        </w:rPr>
        <w:t>Food and Drug Regulations</w:t>
      </w:r>
      <w:r w:rsidRPr="00726F4A">
        <w:rPr>
          <w:lang w:val="en-CA"/>
        </w:rPr>
        <w:t>, art. C.05.001 (b) (iii); TCPS2, art. 6.4 (c).</w:t>
      </w:r>
    </w:p>
  </w:footnote>
  <w:footnote w:id="7">
    <w:p w14:paraId="7C0922F1" w14:textId="00002CCE" w:rsidR="002F6053" w:rsidRPr="00726F4A" w:rsidRDefault="002F6053" w:rsidP="002F6053">
      <w:pPr>
        <w:pStyle w:val="Notedebasdepage"/>
        <w:jc w:val="left"/>
        <w:rPr>
          <w:i/>
          <w:iCs/>
          <w:lang w:val="en-CA"/>
        </w:rPr>
      </w:pPr>
      <w:r w:rsidRPr="00726F4A">
        <w:rPr>
          <w:rStyle w:val="Appelnotedebasdep"/>
          <w:rFonts w:ascii="Arial" w:hAnsi="Arial" w:cs="Arial"/>
          <w:lang w:val="en-CA"/>
        </w:rPr>
        <w:footnoteRef/>
      </w:r>
      <w:r w:rsidRPr="00726F4A">
        <w:rPr>
          <w:lang w:val="en-CA"/>
        </w:rPr>
        <w:t xml:space="preserve"> </w:t>
      </w:r>
      <w:r w:rsidRPr="00726F4A">
        <w:rPr>
          <w:lang w:val="en-CA"/>
        </w:rPr>
        <w:tab/>
      </w:r>
      <w:r w:rsidRPr="00726F4A">
        <w:rPr>
          <w:i/>
          <w:lang w:val="en-CA"/>
        </w:rPr>
        <w:t>Avis</w:t>
      </w:r>
      <w:r w:rsidRPr="00726F4A">
        <w:rPr>
          <w:lang w:val="en-CA"/>
        </w:rPr>
        <w:t xml:space="preserve">, p. 1039; </w:t>
      </w:r>
      <w:r w:rsidRPr="00726F4A">
        <w:rPr>
          <w:i/>
          <w:lang w:val="en-CA"/>
        </w:rPr>
        <w:t>Food and Drug Regulations</w:t>
      </w:r>
      <w:r w:rsidRPr="00726F4A">
        <w:rPr>
          <w:lang w:val="en-CA"/>
        </w:rPr>
        <w:t xml:space="preserve">, art. C.05.001 (b) (v); ICH GCP, s. 3.2.1 (c); TCPS2, art. 6.4 (d). N.B.: According to </w:t>
      </w:r>
      <w:r w:rsidR="007A7E3A" w:rsidRPr="00726F4A">
        <w:rPr>
          <w:lang w:val="en-CA"/>
        </w:rPr>
        <w:t xml:space="preserve">the </w:t>
      </w:r>
      <w:r w:rsidR="007A7E3A" w:rsidRPr="00726F4A">
        <w:rPr>
          <w:i/>
          <w:iCs/>
          <w:lang w:val="en-CA"/>
        </w:rPr>
        <w:t>Avis</w:t>
      </w:r>
      <w:r w:rsidRPr="00726F4A">
        <w:rPr>
          <w:i/>
          <w:lang w:val="en-CA"/>
        </w:rPr>
        <w:t xml:space="preserve">, </w:t>
      </w:r>
      <w:r w:rsidRPr="00726F4A">
        <w:rPr>
          <w:lang w:val="en-CA"/>
        </w:rPr>
        <w:t xml:space="preserve">this person </w:t>
      </w:r>
      <w:r w:rsidR="007A7E3A" w:rsidRPr="00726F4A">
        <w:rPr>
          <w:lang w:val="en-CA"/>
        </w:rPr>
        <w:t xml:space="preserve">must come from groups that </w:t>
      </w:r>
      <w:r w:rsidRPr="00726F4A">
        <w:rPr>
          <w:lang w:val="en-CA"/>
        </w:rPr>
        <w:t xml:space="preserve">use the services of the </w:t>
      </w:r>
      <w:r w:rsidR="00726F4A" w:rsidRPr="00726F4A">
        <w:rPr>
          <w:lang w:val="en-CA"/>
        </w:rPr>
        <w:t>institution.</w:t>
      </w:r>
      <w:r w:rsidR="007A7E3A" w:rsidRPr="00726F4A">
        <w:rPr>
          <w:lang w:val="en-CA"/>
        </w:rPr>
        <w:t xml:space="preserve"> See: </w:t>
      </w:r>
      <w:r w:rsidR="007A7E3A" w:rsidRPr="00726F4A">
        <w:rPr>
          <w:i/>
          <w:iCs/>
          <w:lang w:val="en-CA"/>
        </w:rPr>
        <w:t xml:space="preserve">Avis, </w:t>
      </w:r>
      <w:r w:rsidR="0052590A" w:rsidRPr="00726F4A">
        <w:rPr>
          <w:i/>
          <w:iCs/>
          <w:lang w:val="en-CA"/>
        </w:rPr>
        <w:t>p</w:t>
      </w:r>
      <w:r w:rsidR="007A7E3A" w:rsidRPr="00726F4A">
        <w:rPr>
          <w:i/>
          <w:iCs/>
          <w:lang w:val="en-CA"/>
        </w:rPr>
        <w:t>. 1039.</w:t>
      </w:r>
    </w:p>
  </w:footnote>
  <w:footnote w:id="8">
    <w:p w14:paraId="1BF9D5C8" w14:textId="6EDF3408" w:rsidR="007A7E3A" w:rsidRPr="00726F4A" w:rsidRDefault="007A7E3A">
      <w:pPr>
        <w:pStyle w:val="Notedebasdepage"/>
        <w:rPr>
          <w:lang w:val="en-CA"/>
        </w:rPr>
      </w:pPr>
      <w:r w:rsidRPr="00726F4A">
        <w:rPr>
          <w:rStyle w:val="Appelnotedebasdep"/>
          <w:lang w:val="en-CA"/>
        </w:rPr>
        <w:footnoteRef/>
      </w:r>
      <w:r w:rsidRPr="00726F4A">
        <w:rPr>
          <w:lang w:val="en-CA"/>
        </w:rPr>
        <w:t xml:space="preserve"> </w:t>
      </w:r>
      <w:r w:rsidRPr="00726F4A">
        <w:rPr>
          <w:lang w:val="en-CA"/>
        </w:rPr>
        <w:tab/>
        <w:t>Community members should account for about 20% (tend toward proportional representation) of REB members attending a full board meeting; See also TCPS2, art. 6.4.</w:t>
      </w:r>
    </w:p>
  </w:footnote>
  <w:footnote w:id="9">
    <w:p w14:paraId="14B8887C" w14:textId="7CDFEB5B" w:rsidR="007A7E3A" w:rsidRPr="00726F4A" w:rsidRDefault="007A7E3A">
      <w:pPr>
        <w:pStyle w:val="Notedebasdepage"/>
        <w:rPr>
          <w:lang w:val="en-CA"/>
        </w:rPr>
      </w:pPr>
      <w:r w:rsidRPr="00726F4A">
        <w:rPr>
          <w:rStyle w:val="Appelnotedebasdep"/>
          <w:lang w:val="en-CA"/>
        </w:rPr>
        <w:footnoteRef/>
      </w:r>
      <w:r w:rsidRPr="00726F4A">
        <w:rPr>
          <w:lang w:val="en-CA"/>
        </w:rPr>
        <w:t xml:space="preserve"> </w:t>
      </w:r>
      <w:r w:rsidRPr="00726F4A">
        <w:rPr>
          <w:lang w:val="en-CA"/>
        </w:rPr>
        <w:tab/>
        <w:t>TCPS2, application under art. 6.4.</w:t>
      </w:r>
    </w:p>
  </w:footnote>
  <w:footnote w:id="10">
    <w:p w14:paraId="058E66E6" w14:textId="4C374B08" w:rsidR="002F6053" w:rsidRPr="00726F4A" w:rsidRDefault="002F6053" w:rsidP="002F6053">
      <w:pPr>
        <w:pStyle w:val="Notedebasdepage"/>
        <w:jc w:val="left"/>
        <w:rPr>
          <w:lang w:val="en-CA"/>
        </w:rPr>
      </w:pPr>
      <w:r w:rsidRPr="00726F4A">
        <w:rPr>
          <w:rStyle w:val="Appelnotedebasdep"/>
          <w:rFonts w:ascii="Arial" w:hAnsi="Arial" w:cs="Arial"/>
          <w:lang w:val="en-CA"/>
        </w:rPr>
        <w:footnoteRef/>
      </w:r>
      <w:r w:rsidRPr="00726F4A">
        <w:rPr>
          <w:lang w:val="en-CA"/>
        </w:rPr>
        <w:t xml:space="preserve"> </w:t>
      </w:r>
      <w:r w:rsidRPr="00726F4A">
        <w:rPr>
          <w:lang w:val="en-CA"/>
        </w:rPr>
        <w:tab/>
      </w:r>
      <w:r w:rsidRPr="00726F4A">
        <w:rPr>
          <w:i/>
          <w:lang w:val="en-CA"/>
        </w:rPr>
        <w:t>Food and Drug Regulations</w:t>
      </w:r>
      <w:r w:rsidRPr="00726F4A">
        <w:rPr>
          <w:lang w:val="en-CA"/>
        </w:rPr>
        <w:t>, art. C.05.001 (b); TCPS2, art. 6.4.</w:t>
      </w:r>
    </w:p>
  </w:footnote>
  <w:footnote w:id="11">
    <w:p w14:paraId="430E3609" w14:textId="77777777" w:rsidR="002F6053" w:rsidRPr="00726F4A" w:rsidRDefault="002F6053" w:rsidP="002F6053">
      <w:pPr>
        <w:pStyle w:val="Notedebasdepage"/>
        <w:jc w:val="left"/>
        <w:rPr>
          <w:lang w:val="en-CA"/>
        </w:rPr>
      </w:pPr>
      <w:r w:rsidRPr="00726F4A">
        <w:rPr>
          <w:rStyle w:val="Appelnotedebasdep"/>
          <w:rFonts w:ascii="Arial" w:hAnsi="Arial" w:cs="Arial"/>
          <w:lang w:val="en-CA"/>
        </w:rPr>
        <w:footnoteRef/>
      </w:r>
      <w:r w:rsidRPr="00726F4A">
        <w:rPr>
          <w:lang w:val="en-CA"/>
        </w:rPr>
        <w:t xml:space="preserve"> </w:t>
      </w:r>
      <w:r w:rsidRPr="00726F4A">
        <w:rPr>
          <w:lang w:val="en-CA"/>
        </w:rPr>
        <w:tab/>
      </w:r>
      <w:r w:rsidRPr="00726F4A">
        <w:rPr>
          <w:i/>
          <w:lang w:val="en-CA"/>
        </w:rPr>
        <w:t>Food and Drug Regulations</w:t>
      </w:r>
      <w:r w:rsidRPr="00726F4A">
        <w:rPr>
          <w:lang w:val="en-CA"/>
        </w:rPr>
        <w:t>, art. C.05.001 (b).</w:t>
      </w:r>
    </w:p>
  </w:footnote>
  <w:footnote w:id="12">
    <w:p w14:paraId="4B700184" w14:textId="21D311A7" w:rsidR="007A7E3A" w:rsidRPr="00726F4A" w:rsidRDefault="007A7E3A">
      <w:pPr>
        <w:pStyle w:val="Notedebasdepage"/>
        <w:rPr>
          <w:lang w:val="en-CA"/>
        </w:rPr>
      </w:pPr>
      <w:r w:rsidRPr="00726F4A">
        <w:rPr>
          <w:rStyle w:val="Appelnotedebasdep"/>
          <w:lang w:val="en-CA"/>
        </w:rPr>
        <w:footnoteRef/>
      </w:r>
      <w:r w:rsidRPr="00726F4A">
        <w:rPr>
          <w:lang w:val="en-CA"/>
        </w:rPr>
        <w:t xml:space="preserve"> </w:t>
      </w:r>
      <w:r w:rsidR="00B516F3" w:rsidRPr="00726F4A">
        <w:rPr>
          <w:lang w:val="en-CA"/>
        </w:rPr>
        <w:tab/>
        <w:t>TCPS2, art. 9.4.</w:t>
      </w:r>
    </w:p>
  </w:footnote>
  <w:footnote w:id="13">
    <w:p w14:paraId="133BBEC1" w14:textId="1A959F8A" w:rsidR="002F6053" w:rsidRPr="00726F4A" w:rsidRDefault="002F6053" w:rsidP="002F6053">
      <w:pPr>
        <w:pStyle w:val="Notedebasdepage"/>
        <w:jc w:val="left"/>
        <w:rPr>
          <w:lang w:val="en-CA"/>
        </w:rPr>
      </w:pPr>
      <w:r w:rsidRPr="00726F4A">
        <w:rPr>
          <w:rStyle w:val="Appelnotedebasdep"/>
          <w:lang w:val="en-CA"/>
        </w:rPr>
        <w:footnoteRef/>
      </w:r>
      <w:r w:rsidRPr="00726F4A">
        <w:rPr>
          <w:lang w:val="en-CA"/>
        </w:rPr>
        <w:t xml:space="preserve"> </w:t>
      </w:r>
      <w:r w:rsidRPr="00726F4A">
        <w:rPr>
          <w:lang w:val="en-CA"/>
        </w:rPr>
        <w:tab/>
        <w:t xml:space="preserve">TCPS2, </w:t>
      </w:r>
      <w:r w:rsidR="00B516F3" w:rsidRPr="00726F4A">
        <w:rPr>
          <w:lang w:val="en-CA"/>
        </w:rPr>
        <w:t>application under art. 6.4</w:t>
      </w:r>
      <w:r w:rsidRPr="00726F4A">
        <w:rPr>
          <w:lang w:val="en-CA"/>
        </w:rPr>
        <w:t>.</w:t>
      </w:r>
    </w:p>
  </w:footnote>
  <w:footnote w:id="14">
    <w:p w14:paraId="7611B087" w14:textId="17C0F38C" w:rsidR="002F6053" w:rsidRPr="00726F4A" w:rsidRDefault="002F6053" w:rsidP="002F6053">
      <w:pPr>
        <w:pStyle w:val="Notedebasdepage"/>
        <w:jc w:val="left"/>
        <w:rPr>
          <w:lang w:val="en-CA"/>
        </w:rPr>
      </w:pPr>
      <w:r w:rsidRPr="00726F4A">
        <w:rPr>
          <w:rStyle w:val="Appelnotedebasdep"/>
          <w:lang w:val="en-CA"/>
        </w:rPr>
        <w:footnoteRef/>
      </w:r>
      <w:r w:rsidRPr="00726F4A">
        <w:rPr>
          <w:lang w:val="en-CA"/>
        </w:rPr>
        <w:t xml:space="preserve"> </w:t>
      </w:r>
      <w:r w:rsidRPr="00726F4A">
        <w:rPr>
          <w:lang w:val="en-CA"/>
        </w:rPr>
        <w:tab/>
      </w:r>
      <w:r w:rsidRPr="00726F4A">
        <w:rPr>
          <w:i/>
          <w:lang w:val="en-CA"/>
        </w:rPr>
        <w:t>Avis</w:t>
      </w:r>
      <w:r w:rsidRPr="00726F4A">
        <w:rPr>
          <w:lang w:val="en-CA"/>
        </w:rPr>
        <w:t>, p. 1039; ICH GCP, s. 3.2.6; TDR, s. 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53A8"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6EF279AB" w14:textId="77777777" w:rsidTr="58B8826E">
      <w:trPr>
        <w:trHeight w:val="567"/>
      </w:trPr>
      <w:tc>
        <w:tcPr>
          <w:tcW w:w="4957" w:type="dxa"/>
          <w:vMerge w:val="restart"/>
          <w:tcBorders>
            <w:right w:val="single" w:sz="4" w:space="0" w:color="auto"/>
          </w:tcBorders>
          <w:shd w:val="clear" w:color="auto" w:fill="auto"/>
          <w:vAlign w:val="center"/>
        </w:tcPr>
        <w:p w14:paraId="510D5056" w14:textId="777F4363"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06CFDA33" w14:textId="3BD06EC6" w:rsidR="0030269A" w:rsidRPr="00D0004E" w:rsidRDefault="58B8826E" w:rsidP="58B8826E">
          <w:pPr>
            <w:spacing w:before="0" w:after="0"/>
            <w:jc w:val="right"/>
            <w:rPr>
              <w:sz w:val="32"/>
              <w:szCs w:val="32"/>
              <w:lang w:val="en-US"/>
            </w:rPr>
          </w:pPr>
          <w:r w:rsidRPr="58B8826E">
            <w:rPr>
              <w:sz w:val="32"/>
              <w:szCs w:val="32"/>
              <w:lang w:val="en-US"/>
            </w:rPr>
            <w:t>REB-SOP</w:t>
          </w:r>
          <w:r w:rsidR="00660163">
            <w:rPr>
              <w:sz w:val="32"/>
              <w:szCs w:val="32"/>
              <w:lang w:val="en-US"/>
            </w:rPr>
            <w:t xml:space="preserve"> </w:t>
          </w:r>
          <w:r w:rsidR="002F6053" w:rsidRPr="002F6053">
            <w:rPr>
              <w:sz w:val="32"/>
              <w:szCs w:val="32"/>
              <w:lang w:val="en-US"/>
            </w:rPr>
            <w:t>201</w:t>
          </w:r>
          <w:r w:rsidR="00B721B7">
            <w:rPr>
              <w:sz w:val="32"/>
              <w:szCs w:val="32"/>
              <w:lang w:val="en-US"/>
            </w:rPr>
            <w:t>-002</w:t>
          </w:r>
        </w:p>
      </w:tc>
    </w:tr>
    <w:tr w:rsidR="0030269A" w:rsidRPr="005A11F5" w14:paraId="7D85FA12" w14:textId="77777777" w:rsidTr="58B8826E">
      <w:trPr>
        <w:trHeight w:val="567"/>
      </w:trPr>
      <w:tc>
        <w:tcPr>
          <w:tcW w:w="4957" w:type="dxa"/>
          <w:vMerge/>
        </w:tcPr>
        <w:p w14:paraId="6732763A"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15EE787F" w14:textId="77777777" w:rsidR="0030269A" w:rsidRPr="002F7EC5" w:rsidRDefault="0030269A" w:rsidP="0030269A">
          <w:pPr>
            <w:spacing w:before="0" w:after="0"/>
            <w:jc w:val="right"/>
            <w:rPr>
              <w:lang w:val="en-US"/>
            </w:rPr>
          </w:pPr>
          <w:r w:rsidRPr="002F7EC5">
            <w:rPr>
              <w:lang w:val="en-US"/>
            </w:rPr>
            <w:t>Research Ethics Board</w:t>
          </w:r>
        </w:p>
        <w:p w14:paraId="7891696A" w14:textId="77777777" w:rsidR="0030269A" w:rsidRPr="002F7EC5" w:rsidRDefault="0030269A" w:rsidP="0030269A">
          <w:pPr>
            <w:spacing w:before="0" w:after="0"/>
            <w:jc w:val="right"/>
            <w:rPr>
              <w:lang w:val="en-US"/>
            </w:rPr>
          </w:pPr>
          <w:r w:rsidRPr="002F7EC5">
            <w:rPr>
              <w:lang w:val="en-US"/>
            </w:rPr>
            <w:t>Standard Operating Procedure</w:t>
          </w:r>
        </w:p>
      </w:tc>
    </w:tr>
  </w:tbl>
  <w:p w14:paraId="17D77A67" w14:textId="77777777" w:rsidR="0030269A" w:rsidRPr="002F7EC5" w:rsidRDefault="0030269A" w:rsidP="0030269A">
    <w:pPr>
      <w:pStyle w:val="En-tte"/>
      <w:rPr>
        <w:lang w:val="en-US"/>
      </w:rPr>
    </w:pPr>
  </w:p>
  <w:p w14:paraId="407F909E"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CD2E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28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05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58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288C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927EAA"/>
    <w:multiLevelType w:val="multilevel"/>
    <w:tmpl w:val="7FFC66D2"/>
    <w:lvl w:ilvl="0">
      <w:start w:val="5"/>
      <w:numFmt w:val="decimal"/>
      <w:lvlText w:val="%1"/>
      <w:lvlJc w:val="left"/>
      <w:pPr>
        <w:ind w:hanging="708"/>
      </w:pPr>
      <w:rPr>
        <w:rFonts w:cs="Times New Roman" w:hint="default"/>
      </w:rPr>
    </w:lvl>
    <w:lvl w:ilvl="1">
      <w:start w:val="1"/>
      <w:numFmt w:val="decimal"/>
      <w:lvlText w:val="%1.%2"/>
      <w:lvlJc w:val="left"/>
      <w:pPr>
        <w:ind w:hanging="708"/>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spacing w:val="1"/>
        <w:w w:val="99"/>
        <w:sz w:val="24"/>
        <w:szCs w:val="24"/>
      </w:rPr>
    </w:lvl>
    <w:lvl w:ilvl="3">
      <w:start w:val="1"/>
      <w:numFmt w:val="bullet"/>
      <w:lvlText w:val="•"/>
      <w:lvlJc w:val="left"/>
      <w:pPr>
        <w:ind w:hanging="425"/>
      </w:pPr>
      <w:rPr>
        <w:rFonts w:ascii="Arial" w:eastAsia="Times New Roman" w:hAnsi="Arial" w:hint="default"/>
        <w:w w:val="131"/>
        <w:sz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B3715A1"/>
    <w:multiLevelType w:val="multilevel"/>
    <w:tmpl w:val="040C001D"/>
    <w:numStyleLink w:val="SOPListeHyrarchise"/>
  </w:abstractNum>
  <w:abstractNum w:abstractNumId="22"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260574973">
    <w:abstractNumId w:val="15"/>
  </w:num>
  <w:num w:numId="2" w16cid:durableId="1110398072">
    <w:abstractNumId w:val="20"/>
  </w:num>
  <w:num w:numId="3" w16cid:durableId="1962295862">
    <w:abstractNumId w:val="23"/>
  </w:num>
  <w:num w:numId="4" w16cid:durableId="1834056967">
    <w:abstractNumId w:val="4"/>
  </w:num>
  <w:num w:numId="5" w16cid:durableId="2002804013">
    <w:abstractNumId w:val="5"/>
  </w:num>
  <w:num w:numId="6" w16cid:durableId="490799983">
    <w:abstractNumId w:val="6"/>
  </w:num>
  <w:num w:numId="7" w16cid:durableId="148061196">
    <w:abstractNumId w:val="7"/>
  </w:num>
  <w:num w:numId="8" w16cid:durableId="1101219208">
    <w:abstractNumId w:val="9"/>
  </w:num>
  <w:num w:numId="9" w16cid:durableId="1261572275">
    <w:abstractNumId w:val="0"/>
  </w:num>
  <w:num w:numId="10" w16cid:durableId="527449249">
    <w:abstractNumId w:val="1"/>
  </w:num>
  <w:num w:numId="11" w16cid:durableId="1254588011">
    <w:abstractNumId w:val="2"/>
  </w:num>
  <w:num w:numId="12" w16cid:durableId="603077338">
    <w:abstractNumId w:val="3"/>
  </w:num>
  <w:num w:numId="13" w16cid:durableId="217133836">
    <w:abstractNumId w:val="8"/>
  </w:num>
  <w:num w:numId="14" w16cid:durableId="1152453118">
    <w:abstractNumId w:val="19"/>
  </w:num>
  <w:num w:numId="15" w16cid:durableId="112680007">
    <w:abstractNumId w:val="18"/>
  </w:num>
  <w:num w:numId="16" w16cid:durableId="336465695">
    <w:abstractNumId w:val="11"/>
  </w:num>
  <w:num w:numId="17" w16cid:durableId="2022319462">
    <w:abstractNumId w:val="10"/>
  </w:num>
  <w:num w:numId="18" w16cid:durableId="1855917796">
    <w:abstractNumId w:val="22"/>
  </w:num>
  <w:num w:numId="19" w16cid:durableId="785272587">
    <w:abstractNumId w:val="16"/>
  </w:num>
  <w:num w:numId="20" w16cid:durableId="1635983908">
    <w:abstractNumId w:val="13"/>
  </w:num>
  <w:num w:numId="21" w16cid:durableId="220406033">
    <w:abstractNumId w:val="12"/>
  </w:num>
  <w:num w:numId="22" w16cid:durableId="1228147782">
    <w:abstractNumId w:val="21"/>
  </w:num>
  <w:num w:numId="23" w16cid:durableId="1009407134">
    <w:abstractNumId w:val="17"/>
  </w:num>
  <w:num w:numId="24" w16cid:durableId="18862109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53"/>
    <w:rsid w:val="00012A3D"/>
    <w:rsid w:val="0002610A"/>
    <w:rsid w:val="0003761D"/>
    <w:rsid w:val="000731F7"/>
    <w:rsid w:val="000F22E0"/>
    <w:rsid w:val="00114365"/>
    <w:rsid w:val="00132AA9"/>
    <w:rsid w:val="0017361E"/>
    <w:rsid w:val="00226DCF"/>
    <w:rsid w:val="00283978"/>
    <w:rsid w:val="0028581A"/>
    <w:rsid w:val="002B5BA5"/>
    <w:rsid w:val="002B5EA6"/>
    <w:rsid w:val="002E18ED"/>
    <w:rsid w:val="002E750D"/>
    <w:rsid w:val="002F6053"/>
    <w:rsid w:val="0030051C"/>
    <w:rsid w:val="0030269A"/>
    <w:rsid w:val="00302BF0"/>
    <w:rsid w:val="0032222C"/>
    <w:rsid w:val="00346C48"/>
    <w:rsid w:val="00372865"/>
    <w:rsid w:val="00381E3D"/>
    <w:rsid w:val="00386EA4"/>
    <w:rsid w:val="003E6C88"/>
    <w:rsid w:val="00407B78"/>
    <w:rsid w:val="00417668"/>
    <w:rsid w:val="004374F7"/>
    <w:rsid w:val="00444D39"/>
    <w:rsid w:val="0052590A"/>
    <w:rsid w:val="00542A47"/>
    <w:rsid w:val="00582401"/>
    <w:rsid w:val="0059613B"/>
    <w:rsid w:val="005A11F5"/>
    <w:rsid w:val="0061279F"/>
    <w:rsid w:val="006559ED"/>
    <w:rsid w:val="00660163"/>
    <w:rsid w:val="006679F4"/>
    <w:rsid w:val="006A4376"/>
    <w:rsid w:val="006F43C1"/>
    <w:rsid w:val="0071068F"/>
    <w:rsid w:val="00726F4A"/>
    <w:rsid w:val="0074780E"/>
    <w:rsid w:val="00752FAD"/>
    <w:rsid w:val="007531FE"/>
    <w:rsid w:val="00753239"/>
    <w:rsid w:val="00756C58"/>
    <w:rsid w:val="007A70F4"/>
    <w:rsid w:val="007A7E3A"/>
    <w:rsid w:val="00802F4C"/>
    <w:rsid w:val="00861AE8"/>
    <w:rsid w:val="008729A6"/>
    <w:rsid w:val="008A587F"/>
    <w:rsid w:val="008E5297"/>
    <w:rsid w:val="008F4B93"/>
    <w:rsid w:val="00973B7E"/>
    <w:rsid w:val="009754E0"/>
    <w:rsid w:val="00986A54"/>
    <w:rsid w:val="00A26CA7"/>
    <w:rsid w:val="00A313CE"/>
    <w:rsid w:val="00A967C9"/>
    <w:rsid w:val="00B03D06"/>
    <w:rsid w:val="00B43B4B"/>
    <w:rsid w:val="00B516F3"/>
    <w:rsid w:val="00B66BD6"/>
    <w:rsid w:val="00B66EA8"/>
    <w:rsid w:val="00B721B7"/>
    <w:rsid w:val="00C75C16"/>
    <w:rsid w:val="00C76F0B"/>
    <w:rsid w:val="00CE63B7"/>
    <w:rsid w:val="00CF7173"/>
    <w:rsid w:val="00D14E15"/>
    <w:rsid w:val="00D659AD"/>
    <w:rsid w:val="00DB3E69"/>
    <w:rsid w:val="00DC2BA3"/>
    <w:rsid w:val="00E06D6C"/>
    <w:rsid w:val="00E17934"/>
    <w:rsid w:val="00E428CC"/>
    <w:rsid w:val="00E445A4"/>
    <w:rsid w:val="00E45FC0"/>
    <w:rsid w:val="00E83DF3"/>
    <w:rsid w:val="00EC101E"/>
    <w:rsid w:val="00EC34C7"/>
    <w:rsid w:val="00EE11DD"/>
    <w:rsid w:val="00F443B2"/>
    <w:rsid w:val="00FB1DBC"/>
    <w:rsid w:val="00FC636C"/>
    <w:rsid w:val="00FD5A2D"/>
    <w:rsid w:val="00FE6AD1"/>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9AF9"/>
  <w14:defaultImageDpi w14:val="32767"/>
  <w15:chartTrackingRefBased/>
  <w15:docId w15:val="{B7FAAD47-2026-41FD-B929-8E0467EE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fr-CA"/>
    </w:rPr>
  </w:style>
  <w:style w:type="paragraph" w:styleId="Titre1">
    <w:name w:val="heading 1"/>
    <w:basedOn w:val="Normal"/>
    <w:next w:val="Normal"/>
    <w:link w:val="Titre1Car"/>
    <w:qFormat/>
    <w:rsid w:val="008729A6"/>
    <w:pPr>
      <w:keepNext/>
      <w:widowControl w:val="0"/>
      <w:numPr>
        <w:numId w:val="1"/>
      </w:numPr>
      <w:ind w:left="1138" w:hanging="1138"/>
      <w:outlineLvl w:val="0"/>
    </w:pPr>
    <w:rPr>
      <w:rFonts w:eastAsiaTheme="majorEastAsia" w:cs="Calibri (Corps)"/>
      <w:b/>
      <w:caps/>
      <w:lang w:val="en-CA"/>
    </w:rPr>
  </w:style>
  <w:style w:type="paragraph" w:styleId="Titre2">
    <w:name w:val="heading 2"/>
    <w:basedOn w:val="Normal"/>
    <w:next w:val="Normal"/>
    <w:link w:val="Titre2Car"/>
    <w:unhideWhenUsed/>
    <w:qFormat/>
    <w:rsid w:val="00FC636C"/>
    <w:pPr>
      <w:widowControl w:val="0"/>
      <w:numPr>
        <w:ilvl w:val="1"/>
        <w:numId w:val="1"/>
      </w:numPr>
      <w:tabs>
        <w:tab w:val="left" w:pos="1134"/>
      </w:tabs>
      <w:ind w:left="1134" w:hanging="1134"/>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B721B7"/>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C75C16"/>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nhideWhenUsed/>
    <w:rsid w:val="0030269A"/>
    <w:pPr>
      <w:tabs>
        <w:tab w:val="center" w:pos="4153"/>
        <w:tab w:val="right" w:pos="8306"/>
      </w:tabs>
      <w:spacing w:before="0" w:after="0"/>
    </w:pPr>
  </w:style>
  <w:style w:type="character" w:customStyle="1" w:styleId="PieddepageCar">
    <w:name w:val="Pied de page Car"/>
    <w:basedOn w:val="Policepardfaut"/>
    <w:link w:val="Pieddepage"/>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2F6053"/>
    <w:pPr>
      <w:widowControl w:val="0"/>
      <w:spacing w:before="0" w:after="0"/>
      <w:ind w:left="140" w:hanging="708"/>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2F6053"/>
    <w:rPr>
      <w:rFonts w:ascii="Arial" w:eastAsia="Times New Roman" w:hAnsi="Arial" w:cs="Times New Roman"/>
      <w:lang w:val="en-US"/>
    </w:rPr>
  </w:style>
  <w:style w:type="paragraph" w:customStyle="1" w:styleId="Paragraphedeliste1">
    <w:name w:val="Paragraphe de liste1"/>
    <w:basedOn w:val="Normal"/>
    <w:rsid w:val="002F6053"/>
    <w:pPr>
      <w:widowControl w:val="0"/>
      <w:spacing w:before="0" w:after="0"/>
      <w:jc w:val="left"/>
    </w:pPr>
    <w:rPr>
      <w:rFonts w:ascii="Calibri" w:eastAsia="Times New Roman" w:hAnsi="Calibri" w:cs="Times New Roman"/>
      <w:lang w:val="en-US"/>
    </w:rPr>
  </w:style>
  <w:style w:type="paragraph" w:customStyle="1" w:styleId="TableParagraph">
    <w:name w:val="Table Paragraph"/>
    <w:basedOn w:val="Normal"/>
    <w:rsid w:val="002F6053"/>
    <w:pPr>
      <w:widowControl w:val="0"/>
      <w:spacing w:before="0" w:after="0"/>
      <w:jc w:val="left"/>
    </w:pPr>
    <w:rPr>
      <w:rFonts w:ascii="Calibri" w:eastAsia="Times New Roman" w:hAnsi="Calibri" w:cs="Times New Roman"/>
      <w:lang w:val="en-US"/>
    </w:rPr>
  </w:style>
  <w:style w:type="character" w:styleId="Numrodepage">
    <w:name w:val="page number"/>
    <w:basedOn w:val="Policepardfaut"/>
    <w:rsid w:val="002F6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F52D9-992E-4409-9E28-DC271AB90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7834E-8F7A-4F80-B6F6-1D71D01481FD}">
  <ds:schemaRefs>
    <ds:schemaRef ds:uri="http://schemas.microsoft.com/sharepoint/v3/contenttype/forms"/>
  </ds:schemaRefs>
</ds:datastoreItem>
</file>

<file path=customXml/itemProps3.xml><?xml version="1.0" encoding="utf-8"?>
<ds:datastoreItem xmlns:ds="http://schemas.openxmlformats.org/officeDocument/2006/customXml" ds:itemID="{DDDAEC41-6F94-4307-951E-6AF85D9F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154</TotalTime>
  <Pages>1</Pages>
  <Words>1140</Words>
  <Characters>6273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26</cp:revision>
  <dcterms:created xsi:type="dcterms:W3CDTF">2019-06-05T20:22:00Z</dcterms:created>
  <dcterms:modified xsi:type="dcterms:W3CDTF">2023-11-21T20:54:00Z</dcterms:modified>
</cp:coreProperties>
</file>