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4AD" w14:textId="77777777" w:rsidR="0030269A" w:rsidRPr="00756C58" w:rsidRDefault="0030269A" w:rsidP="005A1FA9">
      <w:pPr>
        <w:spacing w:before="0" w:after="0"/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6745"/>
      </w:tblGrid>
      <w:tr w:rsidR="0030269A" w:rsidRPr="00756C58" w14:paraId="3C2F7269" w14:textId="77777777" w:rsidTr="00012A3D">
        <w:tc>
          <w:tcPr>
            <w:tcW w:w="3325" w:type="dxa"/>
          </w:tcPr>
          <w:p w14:paraId="0697A2F2" w14:textId="77777777" w:rsidR="0030269A" w:rsidRPr="00756C58" w:rsidRDefault="0030269A" w:rsidP="005A1FA9">
            <w:pPr>
              <w:spacing w:before="60" w:after="60"/>
              <w:rPr>
                <w:b/>
                <w:lang w:val="en-CA"/>
              </w:rPr>
            </w:pPr>
            <w:r w:rsidRPr="00756C58">
              <w:rPr>
                <w:b/>
                <w:lang w:val="en-CA"/>
              </w:rPr>
              <w:t>Title</w:t>
            </w:r>
          </w:p>
        </w:tc>
        <w:tc>
          <w:tcPr>
            <w:tcW w:w="6745" w:type="dxa"/>
          </w:tcPr>
          <w:p w14:paraId="0252C3D5" w14:textId="77777777" w:rsidR="0030269A" w:rsidRPr="00756C58" w:rsidRDefault="008B7068" w:rsidP="005A1FA9">
            <w:pPr>
              <w:spacing w:before="60" w:after="60"/>
              <w:rPr>
                <w:lang w:val="en-CA"/>
              </w:rPr>
            </w:pPr>
            <w:r w:rsidRPr="008B7068">
              <w:rPr>
                <w:lang w:val="en-CA"/>
              </w:rPr>
              <w:t>Conflicts of Interest – Board of Directors</w:t>
            </w:r>
          </w:p>
        </w:tc>
      </w:tr>
      <w:tr w:rsidR="0030269A" w:rsidRPr="00DC2BA3" w14:paraId="6A6AAFD9" w14:textId="77777777" w:rsidTr="00012A3D">
        <w:tc>
          <w:tcPr>
            <w:tcW w:w="3325" w:type="dxa"/>
          </w:tcPr>
          <w:p w14:paraId="0344EA30" w14:textId="77777777" w:rsidR="0030269A" w:rsidRPr="00756C58" w:rsidRDefault="58B8826E" w:rsidP="005A1FA9">
            <w:pPr>
              <w:spacing w:before="60" w:after="60"/>
              <w:rPr>
                <w:b/>
                <w:bCs/>
                <w:lang w:val="en-CA"/>
              </w:rPr>
            </w:pPr>
            <w:r w:rsidRPr="58B8826E">
              <w:rPr>
                <w:b/>
                <w:bCs/>
                <w:lang w:val="en-CA"/>
              </w:rPr>
              <w:t>SOP Code</w:t>
            </w:r>
          </w:p>
        </w:tc>
        <w:tc>
          <w:tcPr>
            <w:tcW w:w="6745" w:type="dxa"/>
          </w:tcPr>
          <w:p w14:paraId="05D8D4DC" w14:textId="6A1E41A2" w:rsidR="0030269A" w:rsidRPr="00DC2BA3" w:rsidRDefault="58B8826E" w:rsidP="005A1FA9">
            <w:pPr>
              <w:spacing w:before="60" w:after="60"/>
            </w:pPr>
            <w:r>
              <w:t>REB</w:t>
            </w:r>
            <w:r w:rsidR="00660163">
              <w:t>-</w:t>
            </w:r>
            <w:r>
              <w:t>SOP</w:t>
            </w:r>
            <w:r w:rsidR="00012A3D">
              <w:t xml:space="preserve"> </w:t>
            </w:r>
            <w:r w:rsidR="008B7068" w:rsidRPr="008B7068">
              <w:t>105C</w:t>
            </w:r>
            <w:r w:rsidR="00EB13DF">
              <w:t>-002</w:t>
            </w:r>
          </w:p>
        </w:tc>
      </w:tr>
      <w:tr w:rsidR="0030269A" w:rsidRPr="00756C58" w14:paraId="60CD550E" w14:textId="77777777" w:rsidTr="00012A3D">
        <w:tc>
          <w:tcPr>
            <w:tcW w:w="3325" w:type="dxa"/>
          </w:tcPr>
          <w:p w14:paraId="19E903F2" w14:textId="77777777" w:rsidR="0030269A" w:rsidRPr="00756C58" w:rsidRDefault="0030269A" w:rsidP="005A1FA9">
            <w:pPr>
              <w:spacing w:before="60" w:after="60"/>
              <w:rPr>
                <w:b/>
                <w:lang w:val="en-CA"/>
              </w:rPr>
            </w:pPr>
            <w:r w:rsidRPr="00756C58">
              <w:rPr>
                <w:b/>
                <w:lang w:val="en-CA"/>
              </w:rPr>
              <w:t>N2/CAREB SOP CODE</w:t>
            </w:r>
          </w:p>
        </w:tc>
        <w:tc>
          <w:tcPr>
            <w:tcW w:w="6745" w:type="dxa"/>
          </w:tcPr>
          <w:p w14:paraId="1B492997" w14:textId="25C8E3FB" w:rsidR="0030269A" w:rsidRPr="00756C58" w:rsidRDefault="0030269A" w:rsidP="005A1FA9">
            <w:pPr>
              <w:spacing w:before="60" w:after="60"/>
              <w:rPr>
                <w:lang w:val="en-CA"/>
              </w:rPr>
            </w:pPr>
            <w:r w:rsidRPr="00756C58">
              <w:rPr>
                <w:lang w:val="en-CA"/>
              </w:rPr>
              <w:t>SOP</w:t>
            </w:r>
            <w:r w:rsidR="005A11F5">
              <w:rPr>
                <w:lang w:val="en-CA"/>
              </w:rPr>
              <w:t xml:space="preserve"> </w:t>
            </w:r>
            <w:r w:rsidR="008B7068" w:rsidRPr="008B7068">
              <w:rPr>
                <w:lang w:val="en-CA"/>
              </w:rPr>
              <w:t>105C</w:t>
            </w:r>
            <w:r w:rsidR="00EB13DF">
              <w:rPr>
                <w:lang w:val="en-CA"/>
              </w:rPr>
              <w:t>-003</w:t>
            </w:r>
          </w:p>
        </w:tc>
      </w:tr>
      <w:tr w:rsidR="0030269A" w:rsidRPr="00756C58" w14:paraId="1054AD49" w14:textId="77777777" w:rsidTr="00012A3D">
        <w:tc>
          <w:tcPr>
            <w:tcW w:w="3325" w:type="dxa"/>
          </w:tcPr>
          <w:p w14:paraId="4044D3B3" w14:textId="77777777" w:rsidR="0030269A" w:rsidRPr="00756C58" w:rsidRDefault="0030269A" w:rsidP="005A1FA9">
            <w:pPr>
              <w:spacing w:before="60" w:after="60"/>
              <w:rPr>
                <w:b/>
                <w:lang w:val="en-CA"/>
              </w:rPr>
            </w:pPr>
            <w:r w:rsidRPr="00756C58">
              <w:rPr>
                <w:b/>
                <w:lang w:val="en-CA"/>
              </w:rPr>
              <w:t>Effective Date</w:t>
            </w:r>
          </w:p>
        </w:tc>
        <w:tc>
          <w:tcPr>
            <w:tcW w:w="6745" w:type="dxa"/>
          </w:tcPr>
          <w:p w14:paraId="2B7A5D29" w14:textId="77777777" w:rsidR="0030269A" w:rsidRPr="00756C58" w:rsidRDefault="0030269A" w:rsidP="005A1FA9">
            <w:pPr>
              <w:spacing w:before="60" w:after="60"/>
              <w:rPr>
                <w:lang w:val="en-CA"/>
              </w:rPr>
            </w:pPr>
            <w:r w:rsidRPr="00756C58">
              <w:rPr>
                <w:highlight w:val="yellow"/>
                <w:lang w:val="en-CA"/>
              </w:rPr>
              <w:t>YYYY-MM-DD</w:t>
            </w:r>
          </w:p>
        </w:tc>
      </w:tr>
    </w:tbl>
    <w:p w14:paraId="1B8896A0" w14:textId="77777777" w:rsidR="0030269A" w:rsidRPr="00756C58" w:rsidRDefault="0030269A" w:rsidP="005A1FA9">
      <w:pPr>
        <w:rPr>
          <w:lang w:val="en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5"/>
        <w:gridCol w:w="4467"/>
        <w:gridCol w:w="2206"/>
      </w:tblGrid>
      <w:tr w:rsidR="0030269A" w:rsidRPr="00756C58" w14:paraId="674CAC13" w14:textId="77777777" w:rsidTr="00012A3D">
        <w:tc>
          <w:tcPr>
            <w:tcW w:w="3325" w:type="dxa"/>
            <w:shd w:val="clear" w:color="auto" w:fill="D9D9D9" w:themeFill="background1" w:themeFillShade="D9"/>
          </w:tcPr>
          <w:p w14:paraId="62072814" w14:textId="77777777" w:rsidR="0030269A" w:rsidRPr="00756C58" w:rsidRDefault="0030269A" w:rsidP="005A1FA9">
            <w:pPr>
              <w:spacing w:before="60" w:after="60"/>
              <w:jc w:val="center"/>
              <w:rPr>
                <w:b/>
                <w:lang w:val="en-CA"/>
              </w:rPr>
            </w:pPr>
            <w:r w:rsidRPr="00756C58">
              <w:rPr>
                <w:b/>
                <w:lang w:val="en-CA"/>
              </w:rPr>
              <w:t>Status</w:t>
            </w:r>
          </w:p>
        </w:tc>
        <w:tc>
          <w:tcPr>
            <w:tcW w:w="4467" w:type="dxa"/>
            <w:shd w:val="clear" w:color="auto" w:fill="D9D9D9" w:themeFill="background1" w:themeFillShade="D9"/>
          </w:tcPr>
          <w:p w14:paraId="47996AB2" w14:textId="77777777" w:rsidR="0030269A" w:rsidRPr="00756C58" w:rsidRDefault="0030269A" w:rsidP="005A1FA9">
            <w:pPr>
              <w:spacing w:before="60" w:after="60"/>
              <w:jc w:val="center"/>
              <w:rPr>
                <w:b/>
                <w:lang w:val="en-CA"/>
              </w:rPr>
            </w:pPr>
            <w:r w:rsidRPr="00756C58">
              <w:rPr>
                <w:b/>
                <w:lang w:val="en-CA"/>
              </w:rPr>
              <w:t>Name and Title</w:t>
            </w:r>
          </w:p>
        </w:tc>
        <w:tc>
          <w:tcPr>
            <w:tcW w:w="2206" w:type="dxa"/>
            <w:shd w:val="clear" w:color="auto" w:fill="D9D9D9" w:themeFill="background1" w:themeFillShade="D9"/>
          </w:tcPr>
          <w:p w14:paraId="639F09ED" w14:textId="77777777" w:rsidR="0030269A" w:rsidRPr="00756C58" w:rsidRDefault="0030269A" w:rsidP="005A1FA9">
            <w:pPr>
              <w:spacing w:before="60" w:after="60"/>
              <w:jc w:val="center"/>
              <w:rPr>
                <w:b/>
                <w:lang w:val="en-CA"/>
              </w:rPr>
            </w:pPr>
            <w:r w:rsidRPr="00756C58">
              <w:rPr>
                <w:b/>
                <w:lang w:val="en-CA"/>
              </w:rPr>
              <w:t>Date</w:t>
            </w:r>
          </w:p>
        </w:tc>
      </w:tr>
      <w:tr w:rsidR="0030269A" w:rsidRPr="00756C58" w14:paraId="4A1A87A7" w14:textId="77777777" w:rsidTr="00012A3D">
        <w:tc>
          <w:tcPr>
            <w:tcW w:w="3325" w:type="dxa"/>
          </w:tcPr>
          <w:p w14:paraId="03725316" w14:textId="77777777" w:rsidR="0030269A" w:rsidRPr="00756C58" w:rsidRDefault="00012A3D" w:rsidP="005A1FA9">
            <w:pPr>
              <w:spacing w:before="60" w:after="60"/>
              <w:jc w:val="left"/>
              <w:rPr>
                <w:b/>
                <w:i/>
                <w:highlight w:val="yellow"/>
                <w:lang w:val="en-CA"/>
              </w:rPr>
            </w:pPr>
            <w:r w:rsidRPr="00012A3D">
              <w:rPr>
                <w:b/>
                <w:i/>
                <w:lang w:val="en-CA"/>
              </w:rPr>
              <w:t>Author of Harmonized Template</w:t>
            </w:r>
          </w:p>
        </w:tc>
        <w:tc>
          <w:tcPr>
            <w:tcW w:w="4467" w:type="dxa"/>
          </w:tcPr>
          <w:p w14:paraId="53EA21F9" w14:textId="4F1987FA" w:rsidR="0030269A" w:rsidRPr="00756C58" w:rsidRDefault="00EB13DF" w:rsidP="005A1FA9">
            <w:pPr>
              <w:spacing w:before="60" w:after="60"/>
              <w:rPr>
                <w:lang w:val="en-CA"/>
              </w:rPr>
            </w:pPr>
            <w:r>
              <w:rPr>
                <w:lang w:val="en-CA"/>
              </w:rPr>
              <w:t>REB</w:t>
            </w:r>
            <w:r w:rsidR="00861CD2">
              <w:rPr>
                <w:lang w:val="en-CA"/>
              </w:rPr>
              <w:t xml:space="preserve"> </w:t>
            </w:r>
            <w:r w:rsidR="00012A3D" w:rsidRPr="00012A3D">
              <w:rPr>
                <w:lang w:val="en-CA"/>
              </w:rPr>
              <w:t>SOPs</w:t>
            </w:r>
            <w:r>
              <w:rPr>
                <w:lang w:val="en-CA"/>
              </w:rPr>
              <w:t xml:space="preserve"> developed by CATALIS Network</w:t>
            </w:r>
          </w:p>
        </w:tc>
        <w:tc>
          <w:tcPr>
            <w:tcW w:w="2206" w:type="dxa"/>
          </w:tcPr>
          <w:p w14:paraId="58262306" w14:textId="21824FAC" w:rsidR="0030269A" w:rsidRPr="00756C58" w:rsidRDefault="00EB13DF" w:rsidP="005A1FA9">
            <w:pPr>
              <w:spacing w:before="60" w:after="60"/>
              <w:jc w:val="center"/>
              <w:rPr>
                <w:lang w:val="en-CA"/>
              </w:rPr>
            </w:pPr>
            <w:r>
              <w:rPr>
                <w:lang w:val="en-CA"/>
              </w:rPr>
              <w:t>2023-05-01</w:t>
            </w:r>
          </w:p>
        </w:tc>
      </w:tr>
      <w:tr w:rsidR="005A11F5" w:rsidRPr="00756C58" w14:paraId="60702091" w14:textId="77777777" w:rsidTr="00012A3D">
        <w:tc>
          <w:tcPr>
            <w:tcW w:w="3325" w:type="dxa"/>
          </w:tcPr>
          <w:p w14:paraId="76D2EFC6" w14:textId="77777777" w:rsidR="005A11F5" w:rsidRPr="00756C58" w:rsidRDefault="005A11F5" w:rsidP="005A1FA9">
            <w:pPr>
              <w:spacing w:before="60" w:after="60"/>
              <w:rPr>
                <w:b/>
                <w:i/>
                <w:highlight w:val="yellow"/>
                <w:lang w:val="en-CA"/>
              </w:rPr>
            </w:pPr>
            <w:r w:rsidRPr="00756C58">
              <w:rPr>
                <w:b/>
                <w:i/>
                <w:lang w:val="en-CA"/>
              </w:rPr>
              <w:t>Approved</w:t>
            </w:r>
          </w:p>
        </w:tc>
        <w:tc>
          <w:tcPr>
            <w:tcW w:w="4467" w:type="dxa"/>
          </w:tcPr>
          <w:p w14:paraId="15458488" w14:textId="677D11D3" w:rsidR="005A11F5" w:rsidRPr="00756C58" w:rsidRDefault="008F4B93" w:rsidP="005A1FA9">
            <w:pPr>
              <w:spacing w:before="60" w:after="60"/>
              <w:rPr>
                <w:lang w:val="en-CA"/>
              </w:rPr>
            </w:pPr>
            <w:r w:rsidRPr="008F4B93">
              <w:rPr>
                <w:lang w:val="en-CA"/>
              </w:rPr>
              <w:t>REB Full Board Meeting</w:t>
            </w:r>
            <w:r w:rsidR="00EB13DF">
              <w:rPr>
                <w:lang w:val="en-CA"/>
              </w:rPr>
              <w:t>,</w:t>
            </w:r>
            <w:r w:rsidRPr="008F4B93">
              <w:rPr>
                <w:lang w:val="en-CA"/>
              </w:rPr>
              <w:t xml:space="preserve"> XXX</w:t>
            </w:r>
          </w:p>
        </w:tc>
        <w:tc>
          <w:tcPr>
            <w:tcW w:w="2206" w:type="dxa"/>
          </w:tcPr>
          <w:p w14:paraId="26FA03CA" w14:textId="77777777" w:rsidR="005A11F5" w:rsidRPr="00756C58" w:rsidRDefault="005A11F5" w:rsidP="005A1FA9">
            <w:pPr>
              <w:spacing w:before="60" w:after="60"/>
              <w:jc w:val="center"/>
              <w:rPr>
                <w:lang w:val="en-CA"/>
              </w:rPr>
            </w:pPr>
            <w:r>
              <w:rPr>
                <w:lang w:val="en-CA"/>
              </w:rPr>
              <w:t>YYYY-MM-DD</w:t>
            </w:r>
          </w:p>
        </w:tc>
      </w:tr>
      <w:tr w:rsidR="005A11F5" w:rsidRPr="00756C58" w14:paraId="41CE60AB" w14:textId="77777777" w:rsidTr="00012A3D">
        <w:tc>
          <w:tcPr>
            <w:tcW w:w="3325" w:type="dxa"/>
          </w:tcPr>
          <w:p w14:paraId="489E3FC1" w14:textId="0E6F1F16" w:rsidR="005A11F5" w:rsidRPr="00756C58" w:rsidRDefault="00EB13DF" w:rsidP="005A1FA9">
            <w:pPr>
              <w:spacing w:before="60" w:after="60"/>
              <w:rPr>
                <w:b/>
                <w:i/>
                <w:highlight w:val="yellow"/>
                <w:lang w:val="en-CA"/>
              </w:rPr>
            </w:pPr>
            <w:r>
              <w:rPr>
                <w:b/>
                <w:i/>
                <w:lang w:val="en-CA"/>
              </w:rPr>
              <w:t>[Approved] or [</w:t>
            </w:r>
            <w:r w:rsidR="005A11F5" w:rsidRPr="00756C58">
              <w:rPr>
                <w:b/>
                <w:i/>
                <w:lang w:val="en-CA"/>
              </w:rPr>
              <w:t>Acknowledg</w:t>
            </w:r>
            <w:r w:rsidR="005A11F5">
              <w:rPr>
                <w:b/>
                <w:i/>
                <w:lang w:val="en-CA"/>
              </w:rPr>
              <w:t>e</w:t>
            </w:r>
            <w:r w:rsidR="005A11F5" w:rsidRPr="00756C58">
              <w:rPr>
                <w:b/>
                <w:i/>
                <w:lang w:val="en-CA"/>
              </w:rPr>
              <w:t xml:space="preserve"> receipt</w:t>
            </w:r>
            <w:r>
              <w:rPr>
                <w:b/>
                <w:i/>
                <w:lang w:val="en-CA"/>
              </w:rPr>
              <w:t>]</w:t>
            </w:r>
          </w:p>
        </w:tc>
        <w:tc>
          <w:tcPr>
            <w:tcW w:w="4467" w:type="dxa"/>
          </w:tcPr>
          <w:p w14:paraId="7A00AA39" w14:textId="796EBA53" w:rsidR="005A11F5" w:rsidRPr="00756C58" w:rsidRDefault="00E428CC" w:rsidP="005A1FA9">
            <w:pPr>
              <w:spacing w:before="60" w:after="60"/>
              <w:rPr>
                <w:lang w:val="en-CA"/>
              </w:rPr>
            </w:pPr>
            <w:r>
              <w:rPr>
                <w:lang w:val="en-CA"/>
              </w:rPr>
              <w:t>CA</w:t>
            </w:r>
            <w:r w:rsidR="00EB13DF">
              <w:rPr>
                <w:lang w:val="en-CA"/>
              </w:rPr>
              <w:t>,</w:t>
            </w:r>
            <w:r>
              <w:rPr>
                <w:lang w:val="en-CA"/>
              </w:rPr>
              <w:t xml:space="preserve"> </w:t>
            </w:r>
            <w:r w:rsidR="005A11F5" w:rsidRPr="00756C58">
              <w:rPr>
                <w:lang w:val="en-CA"/>
              </w:rPr>
              <w:t>XXX</w:t>
            </w:r>
          </w:p>
        </w:tc>
        <w:tc>
          <w:tcPr>
            <w:tcW w:w="2206" w:type="dxa"/>
          </w:tcPr>
          <w:p w14:paraId="068F481E" w14:textId="77777777" w:rsidR="005A11F5" w:rsidRPr="00756C58" w:rsidRDefault="005A11F5" w:rsidP="005A1FA9">
            <w:pPr>
              <w:spacing w:before="60" w:after="60"/>
              <w:jc w:val="center"/>
              <w:rPr>
                <w:lang w:val="en-CA"/>
              </w:rPr>
            </w:pPr>
            <w:r>
              <w:rPr>
                <w:lang w:val="en-CA"/>
              </w:rPr>
              <w:t>YYYY-MM-DD</w:t>
            </w:r>
          </w:p>
        </w:tc>
      </w:tr>
    </w:tbl>
    <w:p w14:paraId="255F5BAF" w14:textId="77777777" w:rsidR="002E18ED" w:rsidRDefault="002E18ED" w:rsidP="005A1FA9">
      <w:pPr>
        <w:rPr>
          <w:b/>
          <w:lang w:val="en-CA"/>
        </w:rPr>
      </w:pPr>
    </w:p>
    <w:p w14:paraId="564D2110" w14:textId="77777777" w:rsidR="0030269A" w:rsidRDefault="0030269A" w:rsidP="005A1FA9">
      <w:pPr>
        <w:rPr>
          <w:b/>
          <w:lang w:val="en-CA"/>
        </w:rPr>
      </w:pPr>
      <w:r w:rsidRPr="00756C58">
        <w:rPr>
          <w:b/>
          <w:lang w:val="en-CA"/>
        </w:rPr>
        <w:t>Table of Content</w:t>
      </w:r>
    </w:p>
    <w:p w14:paraId="38FA52BD" w14:textId="543457B8" w:rsidR="00F52C90" w:rsidRDefault="0030269A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 w:rsidRPr="00756C58">
        <w:rPr>
          <w:noProof w:val="0"/>
          <w:lang w:val="en-CA"/>
        </w:rPr>
        <w:fldChar w:fldCharType="begin"/>
      </w:r>
      <w:r w:rsidRPr="00756C58">
        <w:rPr>
          <w:noProof w:val="0"/>
          <w:lang w:val="en-CA"/>
        </w:rPr>
        <w:instrText xml:space="preserve"> TOC \o "1-2" \u </w:instrText>
      </w:r>
      <w:r w:rsidRPr="00756C58">
        <w:rPr>
          <w:noProof w:val="0"/>
          <w:lang w:val="en-CA"/>
        </w:rPr>
        <w:fldChar w:fldCharType="separate"/>
      </w:r>
      <w:r w:rsidR="00F52C90">
        <w:t>1</w:t>
      </w:r>
      <w:r w:rsidR="00F52C90">
        <w:rPr>
          <w:kern w:val="2"/>
          <w:sz w:val="22"/>
          <w:szCs w:val="22"/>
          <w:lang w:eastAsia="fr-CA"/>
          <w14:ligatures w14:val="standardContextual"/>
        </w:rPr>
        <w:tab/>
      </w:r>
      <w:r w:rsidR="00F52C90">
        <w:t>Purpose</w:t>
      </w:r>
      <w:r w:rsidR="00F52C90">
        <w:tab/>
      </w:r>
      <w:r w:rsidR="00F52C90">
        <w:fldChar w:fldCharType="begin"/>
      </w:r>
      <w:r w:rsidR="00F52C90">
        <w:instrText xml:space="preserve"> PAGEREF _Toc151123924 \h </w:instrText>
      </w:r>
      <w:r w:rsidR="00F52C90">
        <w:fldChar w:fldCharType="separate"/>
      </w:r>
      <w:r w:rsidR="00F52C90">
        <w:t>1</w:t>
      </w:r>
      <w:r w:rsidR="00F52C90">
        <w:fldChar w:fldCharType="end"/>
      </w:r>
    </w:p>
    <w:p w14:paraId="7644E7E3" w14:textId="5381CE19" w:rsidR="00F52C90" w:rsidRDefault="00F52C90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2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Scope</w:t>
      </w:r>
      <w:r>
        <w:tab/>
      </w:r>
      <w:r>
        <w:fldChar w:fldCharType="begin"/>
      </w:r>
      <w:r>
        <w:instrText xml:space="preserve"> PAGEREF _Toc151123925 \h </w:instrText>
      </w:r>
      <w:r>
        <w:fldChar w:fldCharType="separate"/>
      </w:r>
      <w:r>
        <w:t>1</w:t>
      </w:r>
      <w:r>
        <w:fldChar w:fldCharType="end"/>
      </w:r>
    </w:p>
    <w:p w14:paraId="4C80D764" w14:textId="637AFF9E" w:rsidR="00F52C90" w:rsidRDefault="00F52C90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3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Responsibilities</w:t>
      </w:r>
      <w:r>
        <w:tab/>
      </w:r>
      <w:r>
        <w:fldChar w:fldCharType="begin"/>
      </w:r>
      <w:r>
        <w:instrText xml:space="preserve"> PAGEREF _Toc151123926 \h </w:instrText>
      </w:r>
      <w:r>
        <w:fldChar w:fldCharType="separate"/>
      </w:r>
      <w:r>
        <w:t>2</w:t>
      </w:r>
      <w:r>
        <w:fldChar w:fldCharType="end"/>
      </w:r>
    </w:p>
    <w:p w14:paraId="05D3EEC6" w14:textId="30E6A3C8" w:rsidR="00F52C90" w:rsidRDefault="00F52C90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4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Definitions</w:t>
      </w:r>
      <w:r>
        <w:tab/>
      </w:r>
      <w:r>
        <w:fldChar w:fldCharType="begin"/>
      </w:r>
      <w:r>
        <w:instrText xml:space="preserve"> PAGEREF _Toc151123927 \h </w:instrText>
      </w:r>
      <w:r>
        <w:fldChar w:fldCharType="separate"/>
      </w:r>
      <w:r>
        <w:t>2</w:t>
      </w:r>
      <w:r>
        <w:fldChar w:fldCharType="end"/>
      </w:r>
    </w:p>
    <w:p w14:paraId="2E7BD46F" w14:textId="60A241BE" w:rsidR="00F52C90" w:rsidRDefault="00F52C90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5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_Toc151123928 \h </w:instrText>
      </w:r>
      <w:r>
        <w:fldChar w:fldCharType="separate"/>
      </w:r>
      <w:r>
        <w:t>2</w:t>
      </w:r>
      <w:r>
        <w:fldChar w:fldCharType="end"/>
      </w:r>
    </w:p>
    <w:p w14:paraId="5F916A22" w14:textId="4F03271B" w:rsidR="00F52C90" w:rsidRDefault="00F52C90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6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References</w:t>
      </w:r>
      <w:r>
        <w:tab/>
      </w:r>
      <w:r>
        <w:fldChar w:fldCharType="begin"/>
      </w:r>
      <w:r>
        <w:instrText xml:space="preserve"> PAGEREF _Toc151123929 \h </w:instrText>
      </w:r>
      <w:r>
        <w:fldChar w:fldCharType="separate"/>
      </w:r>
      <w:r>
        <w:t>2</w:t>
      </w:r>
      <w:r>
        <w:fldChar w:fldCharType="end"/>
      </w:r>
    </w:p>
    <w:p w14:paraId="68A182F3" w14:textId="49002C0A" w:rsidR="00F52C90" w:rsidRDefault="00F52C90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7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Revision History</w:t>
      </w:r>
      <w:r>
        <w:tab/>
      </w:r>
      <w:r>
        <w:fldChar w:fldCharType="begin"/>
      </w:r>
      <w:r>
        <w:instrText xml:space="preserve"> PAGEREF _Toc151123930 \h </w:instrText>
      </w:r>
      <w:r>
        <w:fldChar w:fldCharType="separate"/>
      </w:r>
      <w:r>
        <w:t>3</w:t>
      </w:r>
      <w:r>
        <w:fldChar w:fldCharType="end"/>
      </w:r>
    </w:p>
    <w:p w14:paraId="17299400" w14:textId="4F0EDAF8" w:rsidR="00F52C90" w:rsidRDefault="00F52C90">
      <w:pPr>
        <w:pStyle w:val="TM1"/>
        <w:rPr>
          <w:kern w:val="2"/>
          <w:sz w:val="22"/>
          <w:szCs w:val="22"/>
          <w:lang w:eastAsia="fr-CA"/>
          <w14:ligatures w14:val="standardContextual"/>
        </w:rPr>
      </w:pPr>
      <w:r>
        <w:t>8</w:t>
      </w:r>
      <w:r>
        <w:rPr>
          <w:kern w:val="2"/>
          <w:sz w:val="22"/>
          <w:szCs w:val="22"/>
          <w:lang w:eastAsia="fr-CA"/>
          <w14:ligatures w14:val="standardContextual"/>
        </w:rPr>
        <w:tab/>
      </w:r>
      <w:r>
        <w:t>Appendices</w:t>
      </w:r>
      <w:r>
        <w:tab/>
      </w:r>
      <w:r>
        <w:fldChar w:fldCharType="begin"/>
      </w:r>
      <w:r>
        <w:instrText xml:space="preserve"> PAGEREF _Toc151123931 \h </w:instrText>
      </w:r>
      <w:r>
        <w:fldChar w:fldCharType="separate"/>
      </w:r>
      <w:r>
        <w:t>3</w:t>
      </w:r>
      <w:r>
        <w:fldChar w:fldCharType="end"/>
      </w:r>
    </w:p>
    <w:p w14:paraId="7CD6719D" w14:textId="311F70CF" w:rsidR="002B5BA5" w:rsidRPr="00756C58" w:rsidRDefault="0030269A" w:rsidP="005A1FA9">
      <w:pPr>
        <w:rPr>
          <w:lang w:val="en-CA"/>
        </w:rPr>
      </w:pPr>
      <w:r w:rsidRPr="00756C58">
        <w:rPr>
          <w:rFonts w:eastAsiaTheme="minorEastAsia" w:cstheme="minorHAnsi"/>
          <w:lang w:val="en-CA" w:eastAsia="fr-FR"/>
        </w:rPr>
        <w:fldChar w:fldCharType="end"/>
      </w:r>
    </w:p>
    <w:p w14:paraId="49D197FC" w14:textId="77777777" w:rsidR="00B66BD6" w:rsidRDefault="00756C58" w:rsidP="005A1FA9">
      <w:pPr>
        <w:pStyle w:val="Titre1"/>
        <w:widowControl/>
      </w:pPr>
      <w:bookmarkStart w:id="0" w:name="_Toc151123924"/>
      <w:r w:rsidRPr="0032222C">
        <w:t>Purpose</w:t>
      </w:r>
      <w:bookmarkEnd w:id="0"/>
    </w:p>
    <w:p w14:paraId="08C07372" w14:textId="32322822" w:rsidR="002E18ED" w:rsidRPr="002E18ED" w:rsidRDefault="008B7068" w:rsidP="005A1FA9">
      <w:pPr>
        <w:rPr>
          <w:lang w:val="en-CA"/>
        </w:rPr>
      </w:pPr>
      <w:r w:rsidRPr="008B7068">
        <w:rPr>
          <w:lang w:val="en-CA"/>
        </w:rPr>
        <w:t xml:space="preserve">This standard operating procedure (SOP) deals with potential Conflicts of Interest </w:t>
      </w:r>
      <w:r w:rsidR="00A97B8D">
        <w:rPr>
          <w:lang w:val="en-CA"/>
        </w:rPr>
        <w:t xml:space="preserve">(COI) </w:t>
      </w:r>
      <w:r w:rsidRPr="008B7068">
        <w:rPr>
          <w:lang w:val="en-CA"/>
        </w:rPr>
        <w:t>in the relationship between the institution and the Research Ethics Board (REB).</w:t>
      </w:r>
    </w:p>
    <w:p w14:paraId="5A19882C" w14:textId="77777777" w:rsidR="00756C58" w:rsidRDefault="00756C58" w:rsidP="005A1FA9">
      <w:pPr>
        <w:pStyle w:val="Titre1"/>
        <w:widowControl/>
      </w:pPr>
      <w:bookmarkStart w:id="1" w:name="_Toc151123925"/>
      <w:r w:rsidRPr="00756C58">
        <w:t>Scope</w:t>
      </w:r>
      <w:bookmarkEnd w:id="1"/>
    </w:p>
    <w:p w14:paraId="2089DCD3" w14:textId="34E847AC" w:rsidR="002E18ED" w:rsidRPr="002E18ED" w:rsidRDefault="008B7068" w:rsidP="005A1FA9">
      <w:pPr>
        <w:rPr>
          <w:lang w:val="en-CA"/>
        </w:rPr>
      </w:pPr>
      <w:r w:rsidRPr="008B7068">
        <w:rPr>
          <w:lang w:val="en-CA"/>
        </w:rPr>
        <w:t>Th</w:t>
      </w:r>
      <w:r w:rsidR="00EB13DF">
        <w:rPr>
          <w:lang w:val="en-CA"/>
        </w:rPr>
        <w:t>is</w:t>
      </w:r>
      <w:r w:rsidRPr="008B7068">
        <w:rPr>
          <w:lang w:val="en-CA"/>
        </w:rPr>
        <w:t xml:space="preserve"> SOP pertains to REBs that review human participant research in compliance with applicable </w:t>
      </w:r>
      <w:r w:rsidR="00493687">
        <w:rPr>
          <w:lang w:val="en-CA"/>
        </w:rPr>
        <w:t>laws</w:t>
      </w:r>
      <w:r w:rsidR="00EB13DF">
        <w:rPr>
          <w:lang w:val="en-CA"/>
        </w:rPr>
        <w:t xml:space="preserve">, </w:t>
      </w:r>
      <w:r w:rsidRPr="008B7068">
        <w:rPr>
          <w:lang w:val="en-CA"/>
        </w:rPr>
        <w:t>regulations and guidelines.</w:t>
      </w:r>
    </w:p>
    <w:p w14:paraId="63E94026" w14:textId="77777777" w:rsidR="00756C58" w:rsidRDefault="002E18ED" w:rsidP="005A1FA9">
      <w:pPr>
        <w:pStyle w:val="Titre1"/>
        <w:widowControl/>
      </w:pPr>
      <w:bookmarkStart w:id="2" w:name="_Toc151123926"/>
      <w:r>
        <w:lastRenderedPageBreak/>
        <w:t>R</w:t>
      </w:r>
      <w:r w:rsidR="00756C58" w:rsidRPr="00756C58">
        <w:t>esponsibilities</w:t>
      </w:r>
      <w:bookmarkEnd w:id="2"/>
    </w:p>
    <w:p w14:paraId="064EE62C" w14:textId="77777777" w:rsidR="002E18ED" w:rsidRPr="002E18ED" w:rsidRDefault="008B7068" w:rsidP="005A1FA9">
      <w:pPr>
        <w:rPr>
          <w:lang w:val="en-CA"/>
        </w:rPr>
      </w:pPr>
      <w:r w:rsidRPr="008B7068">
        <w:rPr>
          <w:lang w:val="en-CA"/>
        </w:rPr>
        <w:t>All REB members and designated REB staff are responsible for ensuring that the requirements of this SOP are met.</w:t>
      </w:r>
    </w:p>
    <w:p w14:paraId="1BE0DCD6" w14:textId="77777777" w:rsidR="00756C58" w:rsidRDefault="002E18ED" w:rsidP="005A1FA9">
      <w:pPr>
        <w:pStyle w:val="Titre1"/>
        <w:widowControl/>
      </w:pPr>
      <w:bookmarkStart w:id="3" w:name="_Toc151123927"/>
      <w:r>
        <w:t>D</w:t>
      </w:r>
      <w:r w:rsidR="00756C58" w:rsidRPr="00756C58">
        <w:t>efinitions</w:t>
      </w:r>
      <w:bookmarkEnd w:id="3"/>
    </w:p>
    <w:p w14:paraId="1C84AFB9" w14:textId="77777777" w:rsidR="002E18ED" w:rsidRPr="002E18ED" w:rsidRDefault="00A313CE" w:rsidP="005A1FA9">
      <w:pPr>
        <w:rPr>
          <w:lang w:val="en-CA"/>
        </w:rPr>
      </w:pPr>
      <w:r w:rsidRPr="00A313CE">
        <w:rPr>
          <w:lang w:val="en-CA"/>
        </w:rPr>
        <w:t>See Glossary of Terms.</w:t>
      </w:r>
    </w:p>
    <w:p w14:paraId="2956059B" w14:textId="77777777" w:rsidR="00756C58" w:rsidRDefault="002E18ED" w:rsidP="005A1FA9">
      <w:pPr>
        <w:pStyle w:val="Titre1"/>
        <w:widowControl/>
      </w:pPr>
      <w:bookmarkStart w:id="4" w:name="_Toc151123928"/>
      <w:r>
        <w:t>P</w:t>
      </w:r>
      <w:r w:rsidR="00756C58" w:rsidRPr="00756C58">
        <w:t>rocedures</w:t>
      </w:r>
      <w:bookmarkEnd w:id="4"/>
    </w:p>
    <w:p w14:paraId="6421C407" w14:textId="2D5C4B70" w:rsidR="002E18ED" w:rsidRDefault="008B7068" w:rsidP="005A1FA9">
      <w:pPr>
        <w:rPr>
          <w:lang w:val="en-CA"/>
        </w:rPr>
      </w:pPr>
      <w:r w:rsidRPr="008B7068">
        <w:rPr>
          <w:lang w:val="en-CA"/>
        </w:rPr>
        <w:t xml:space="preserve">Should a </w:t>
      </w:r>
      <w:r w:rsidR="00EB13DF">
        <w:rPr>
          <w:lang w:val="en-CA"/>
        </w:rPr>
        <w:t>COI</w:t>
      </w:r>
      <w:r w:rsidRPr="008B7068">
        <w:rPr>
          <w:lang w:val="en-CA"/>
        </w:rPr>
        <w:t xml:space="preserve"> arise between the institution and the REB, the parties must, in good faith, manage the situation with respect, collaboration and transparency. The process implemented to manage the </w:t>
      </w:r>
      <w:r w:rsidR="00EB13DF">
        <w:rPr>
          <w:lang w:val="en-CA"/>
        </w:rPr>
        <w:t>COI</w:t>
      </w:r>
      <w:r w:rsidRPr="008B7068">
        <w:rPr>
          <w:lang w:val="en-CA"/>
        </w:rPr>
        <w:t xml:space="preserve"> must comply with the institution's policies</w:t>
      </w:r>
      <w:r w:rsidR="00EB13DF">
        <w:rPr>
          <w:rStyle w:val="Appelnotedebasdep"/>
          <w:lang w:val="en-CA"/>
        </w:rPr>
        <w:footnoteReference w:id="1"/>
      </w:r>
      <w:r w:rsidRPr="008B7068">
        <w:rPr>
          <w:lang w:val="en-CA"/>
        </w:rPr>
        <w:t xml:space="preserve"> and applicable regulations.</w:t>
      </w:r>
    </w:p>
    <w:p w14:paraId="7BEC86F8" w14:textId="18633215" w:rsidR="00EB13DF" w:rsidRPr="00A97B8D" w:rsidRDefault="00EB13DF" w:rsidP="00EB13DF">
      <w:pPr>
        <w:rPr>
          <w:lang w:val="en-CA"/>
        </w:rPr>
      </w:pPr>
      <w:r w:rsidRPr="00A97B8D">
        <w:rPr>
          <w:lang w:val="en-CA"/>
        </w:rPr>
        <w:t xml:space="preserve">Organizational policies </w:t>
      </w:r>
      <w:r>
        <w:rPr>
          <w:lang w:val="en-CA"/>
        </w:rPr>
        <w:t>must</w:t>
      </w:r>
      <w:r w:rsidRPr="00A97B8D">
        <w:rPr>
          <w:lang w:val="en-CA"/>
        </w:rPr>
        <w:t xml:space="preserve"> address roles, responsibilities and processes for identifying, eliminating, minimizing or managing COI</w:t>
      </w:r>
      <w:r w:rsidR="00861CD2">
        <w:rPr>
          <w:lang w:val="en-CA"/>
        </w:rPr>
        <w:t>s</w:t>
      </w:r>
      <w:r w:rsidRPr="00A97B8D">
        <w:rPr>
          <w:lang w:val="en-CA"/>
        </w:rPr>
        <w:t xml:space="preserve"> that may influence research, including their disclosure to REBs.</w:t>
      </w:r>
      <w:r w:rsidRPr="00A97B8D">
        <w:rPr>
          <w:rStyle w:val="Appelnotedebasdep"/>
          <w:lang w:val="en-CA"/>
        </w:rPr>
        <w:footnoteReference w:id="2"/>
      </w:r>
      <w:r w:rsidRPr="00A97B8D">
        <w:rPr>
          <w:lang w:val="en-CA"/>
        </w:rPr>
        <w:t xml:space="preserve"> COI management includes, but is not limited to, prevention, </w:t>
      </w:r>
      <w:r w:rsidR="00861CD2">
        <w:rPr>
          <w:lang w:val="en-CA"/>
        </w:rPr>
        <w:t>review</w:t>
      </w:r>
      <w:r w:rsidRPr="00A97B8D">
        <w:rPr>
          <w:lang w:val="en-CA"/>
        </w:rPr>
        <w:t xml:space="preserve">, delegation and application of appropriate solutions identified by the institution. </w:t>
      </w:r>
    </w:p>
    <w:p w14:paraId="598C79A7" w14:textId="4EF525A7" w:rsidR="00EB13DF" w:rsidRPr="00A97B8D" w:rsidRDefault="00EB13DF" w:rsidP="00EB13DF">
      <w:pPr>
        <w:spacing w:before="0" w:after="0"/>
        <w:rPr>
          <w:rFonts w:eastAsia="Times New Roman" w:cstheme="minorHAnsi"/>
          <w:lang w:val="en-CA" w:eastAsia="fr-CA"/>
        </w:rPr>
      </w:pPr>
      <w:r w:rsidRPr="00A97B8D">
        <w:rPr>
          <w:lang w:val="en-CA"/>
        </w:rPr>
        <w:t xml:space="preserve">The REB shall be fair and impartial, free from pressure </w:t>
      </w:r>
      <w:r>
        <w:rPr>
          <w:lang w:val="en-CA"/>
        </w:rPr>
        <w:t>by</w:t>
      </w:r>
      <w:r w:rsidRPr="00A97B8D">
        <w:rPr>
          <w:lang w:val="en-CA"/>
        </w:rPr>
        <w:t xml:space="preserve"> the sponsor, the institution</w:t>
      </w:r>
      <w:r w:rsidR="00240222">
        <w:rPr>
          <w:lang w:val="en-CA"/>
        </w:rPr>
        <w:t>,</w:t>
      </w:r>
      <w:r w:rsidRPr="00A97B8D">
        <w:rPr>
          <w:lang w:val="en-CA"/>
        </w:rPr>
        <w:t xml:space="preserve"> and researchers whose research </w:t>
      </w:r>
      <w:r>
        <w:rPr>
          <w:lang w:val="en-CA"/>
        </w:rPr>
        <w:t>projects</w:t>
      </w:r>
      <w:r w:rsidRPr="00A97B8D">
        <w:rPr>
          <w:lang w:val="en-CA"/>
        </w:rPr>
        <w:t xml:space="preserve"> are submitted to it for review. </w:t>
      </w:r>
      <w:proofErr w:type="gramStart"/>
      <w:r w:rsidRPr="00A97B8D">
        <w:rPr>
          <w:lang w:val="en-CA"/>
        </w:rPr>
        <w:t>In order to</w:t>
      </w:r>
      <w:proofErr w:type="gramEnd"/>
      <w:r w:rsidRPr="00A97B8D">
        <w:rPr>
          <w:lang w:val="en-CA"/>
        </w:rPr>
        <w:t xml:space="preserve"> maintain public confidence and preserve the integrity of ethics review, the REB shall act independently and avoid or manage </w:t>
      </w:r>
      <w:r>
        <w:rPr>
          <w:lang w:val="en-CA"/>
        </w:rPr>
        <w:t>real</w:t>
      </w:r>
      <w:r w:rsidRPr="00A97B8D">
        <w:rPr>
          <w:lang w:val="en-CA"/>
        </w:rPr>
        <w:t xml:space="preserve"> or apparent COIs. </w:t>
      </w:r>
      <w:r w:rsidRPr="00A97B8D">
        <w:rPr>
          <w:rFonts w:eastAsia="Times New Roman" w:cstheme="minorHAnsi"/>
          <w:lang w:val="en-CA" w:eastAsia="fr-CA"/>
        </w:rPr>
        <w:t xml:space="preserve">The REB is an autonomous entity within the institution. </w:t>
      </w:r>
      <w:r w:rsidR="00861CD2">
        <w:rPr>
          <w:rFonts w:eastAsia="Times New Roman" w:cstheme="minorHAnsi"/>
          <w:lang w:val="en-CA" w:eastAsia="fr-CA"/>
        </w:rPr>
        <w:t>As such</w:t>
      </w:r>
      <w:r w:rsidRPr="00A97B8D">
        <w:rPr>
          <w:rFonts w:eastAsia="Times New Roman" w:cstheme="minorHAnsi"/>
          <w:lang w:val="en-CA" w:eastAsia="fr-CA"/>
        </w:rPr>
        <w:t xml:space="preserve">, it must have full decision-making independence with respect to the projects it </w:t>
      </w:r>
      <w:r w:rsidR="00861CD2">
        <w:rPr>
          <w:rFonts w:eastAsia="Times New Roman" w:cstheme="minorHAnsi"/>
          <w:lang w:val="en-CA" w:eastAsia="fr-CA"/>
        </w:rPr>
        <w:t>reviews</w:t>
      </w:r>
      <w:r w:rsidRPr="00A97B8D">
        <w:rPr>
          <w:rFonts w:eastAsia="Times New Roman" w:cstheme="minorHAnsi"/>
          <w:lang w:val="en-CA" w:eastAsia="fr-CA"/>
        </w:rPr>
        <w:t>, which is necessary for the execution of its mandate. The institution shall ensure that the REB is protected from undue influence.</w:t>
      </w:r>
      <w:r w:rsidRPr="00A97B8D">
        <w:rPr>
          <w:rStyle w:val="Appelnotedebasdep"/>
          <w:rFonts w:cstheme="minorHAnsi"/>
          <w:lang w:val="en-CA"/>
        </w:rPr>
        <w:footnoteReference w:id="3"/>
      </w:r>
      <w:r w:rsidRPr="00A97B8D">
        <w:rPr>
          <w:rFonts w:cstheme="minorHAnsi"/>
          <w:lang w:val="en-CA"/>
        </w:rPr>
        <w:t xml:space="preserve"> </w:t>
      </w:r>
    </w:p>
    <w:p w14:paraId="1ED895B3" w14:textId="0EEA08E4" w:rsidR="00EB13DF" w:rsidRPr="00EB13DF" w:rsidRDefault="00EB13DF" w:rsidP="00EB13DF">
      <w:pPr>
        <w:rPr>
          <w:lang w:val="en-CA"/>
        </w:rPr>
      </w:pPr>
      <w:r w:rsidRPr="00A97B8D">
        <w:rPr>
          <w:lang w:val="en-CA"/>
        </w:rPr>
        <w:t xml:space="preserve">The rule that should guide decisions about the existence of </w:t>
      </w:r>
      <w:r>
        <w:rPr>
          <w:lang w:val="en-CA"/>
        </w:rPr>
        <w:t>COI</w:t>
      </w:r>
      <w:r w:rsidRPr="00A97B8D">
        <w:rPr>
          <w:lang w:val="en-CA"/>
        </w:rPr>
        <w:t>s is whether an independent observer can reasonably challenge the actions or decisions of an REB based on factors other than the rights, welfare</w:t>
      </w:r>
      <w:r w:rsidR="00240222">
        <w:rPr>
          <w:lang w:val="en-CA"/>
        </w:rPr>
        <w:t>,</w:t>
      </w:r>
      <w:r w:rsidRPr="00A97B8D">
        <w:rPr>
          <w:lang w:val="en-CA"/>
        </w:rPr>
        <w:t xml:space="preserve"> and safety of participants.</w:t>
      </w:r>
    </w:p>
    <w:p w14:paraId="7E6A2DA3" w14:textId="77777777" w:rsidR="00756C58" w:rsidRPr="00756C58" w:rsidRDefault="002E18ED" w:rsidP="005A1FA9">
      <w:pPr>
        <w:pStyle w:val="Titre1"/>
        <w:widowControl/>
      </w:pPr>
      <w:bookmarkStart w:id="5" w:name="_Toc151123929"/>
      <w:r>
        <w:t>R</w:t>
      </w:r>
      <w:r w:rsidR="00756C58" w:rsidRPr="00756C58">
        <w:t>eferences</w:t>
      </w:r>
      <w:bookmarkEnd w:id="5"/>
    </w:p>
    <w:p w14:paraId="4A65B209" w14:textId="30A0E6AB" w:rsidR="00756C58" w:rsidRPr="00756C58" w:rsidRDefault="00A313CE" w:rsidP="005A1FA9">
      <w:pPr>
        <w:rPr>
          <w:lang w:val="en-CA"/>
        </w:rPr>
      </w:pPr>
      <w:r w:rsidRPr="00A313CE">
        <w:rPr>
          <w:lang w:val="en-CA"/>
        </w:rPr>
        <w:t>See footnotes.</w:t>
      </w:r>
    </w:p>
    <w:p w14:paraId="3263106B" w14:textId="77777777" w:rsidR="00A03050" w:rsidRDefault="00A03050">
      <w:pPr>
        <w:spacing w:before="0" w:after="0"/>
        <w:jc w:val="left"/>
        <w:rPr>
          <w:rFonts w:eastAsiaTheme="majorEastAsia" w:cs="Calibri (Corps)"/>
          <w:b/>
          <w:caps/>
          <w:lang w:val="en-CA"/>
        </w:rPr>
      </w:pPr>
      <w:bookmarkStart w:id="6" w:name="_Toc10554376"/>
      <w:r>
        <w:br w:type="page"/>
      </w:r>
    </w:p>
    <w:p w14:paraId="3A6BEBCC" w14:textId="169D7A21" w:rsidR="00756C58" w:rsidRPr="00756C58" w:rsidRDefault="002E18ED" w:rsidP="005A1FA9">
      <w:pPr>
        <w:pStyle w:val="Titre1"/>
        <w:widowControl/>
      </w:pPr>
      <w:bookmarkStart w:id="7" w:name="_Toc151123930"/>
      <w:r>
        <w:lastRenderedPageBreak/>
        <w:t>R</w:t>
      </w:r>
      <w:r w:rsidR="00756C58" w:rsidRPr="00756C58">
        <w:t>evision History</w:t>
      </w:r>
      <w:bookmarkEnd w:id="6"/>
      <w:bookmarkEnd w:id="7"/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59"/>
        <w:gridCol w:w="6096"/>
      </w:tblGrid>
      <w:tr w:rsidR="00756C58" w:rsidRPr="00756C58" w14:paraId="1CFEFAE2" w14:textId="77777777" w:rsidTr="0030704D"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41B37F" w14:textId="77777777" w:rsidR="00756C58" w:rsidRPr="00756C58" w:rsidRDefault="00756C58" w:rsidP="005A1FA9">
            <w:pPr>
              <w:spacing w:before="0" w:after="0"/>
              <w:jc w:val="center"/>
              <w:rPr>
                <w:rFonts w:eastAsia="Calibri"/>
                <w:b/>
                <w:lang w:val="en-CA"/>
              </w:rPr>
            </w:pPr>
            <w:r w:rsidRPr="00756C58">
              <w:rPr>
                <w:rFonts w:eastAsia="Calibri"/>
                <w:b/>
                <w:lang w:val="en-CA"/>
              </w:rPr>
              <w:t>SOP Code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E66E" w14:textId="77777777" w:rsidR="00756C58" w:rsidRPr="00756C58" w:rsidRDefault="00756C58" w:rsidP="005A1FA9">
            <w:pPr>
              <w:spacing w:before="0" w:after="0"/>
              <w:jc w:val="center"/>
              <w:rPr>
                <w:rFonts w:eastAsia="Calibri"/>
                <w:b/>
                <w:lang w:val="en-CA"/>
              </w:rPr>
            </w:pPr>
            <w:r w:rsidRPr="00756C58">
              <w:rPr>
                <w:rFonts w:eastAsia="Calibri"/>
                <w:b/>
                <w:lang w:val="en-CA"/>
              </w:rPr>
              <w:t>Effective Date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D4E3" w14:textId="77777777" w:rsidR="00756C58" w:rsidRPr="00756C58" w:rsidRDefault="00756C58" w:rsidP="005A1FA9">
            <w:pPr>
              <w:spacing w:before="0" w:after="0"/>
              <w:jc w:val="left"/>
              <w:rPr>
                <w:rFonts w:eastAsia="Calibri"/>
                <w:b/>
                <w:lang w:val="en-CA"/>
              </w:rPr>
            </w:pPr>
            <w:r w:rsidRPr="00756C58">
              <w:rPr>
                <w:rFonts w:eastAsia="Calibri"/>
                <w:b/>
                <w:lang w:val="en-CA"/>
              </w:rPr>
              <w:t>Summary of Changes</w:t>
            </w:r>
          </w:p>
        </w:tc>
      </w:tr>
      <w:tr w:rsidR="00756C58" w:rsidRPr="00756C58" w14:paraId="184F435B" w14:textId="77777777" w:rsidTr="0030704D"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B7196" w14:textId="27BDEEA3" w:rsidR="00756C58" w:rsidRPr="00756C58" w:rsidRDefault="00756C58" w:rsidP="005A1FA9">
            <w:pPr>
              <w:spacing w:before="0" w:after="0"/>
              <w:jc w:val="left"/>
              <w:rPr>
                <w:rFonts w:eastAsia="Calibri" w:cs="Arial"/>
                <w:lang w:val="en-CA"/>
              </w:rPr>
            </w:pPr>
            <w:r w:rsidRPr="00756C58">
              <w:rPr>
                <w:rFonts w:eastAsia="Calibri"/>
                <w:lang w:val="en-CA"/>
              </w:rPr>
              <w:t>REB</w:t>
            </w:r>
            <w:r w:rsidR="00660163">
              <w:rPr>
                <w:rFonts w:eastAsia="Calibri"/>
                <w:lang w:val="en-CA"/>
              </w:rPr>
              <w:t>-</w:t>
            </w:r>
            <w:r w:rsidRPr="00756C58">
              <w:rPr>
                <w:rFonts w:eastAsia="Calibri"/>
                <w:lang w:val="en-CA"/>
              </w:rPr>
              <w:t>SOP</w:t>
            </w:r>
            <w:r w:rsidR="00660163">
              <w:rPr>
                <w:rFonts w:eastAsia="Calibri"/>
                <w:lang w:val="en-CA"/>
              </w:rPr>
              <w:t xml:space="preserve"> </w:t>
            </w:r>
            <w:r w:rsidR="008B7068" w:rsidRPr="008B7068">
              <w:rPr>
                <w:rFonts w:eastAsia="Calibri"/>
                <w:lang w:val="en-CA"/>
              </w:rPr>
              <w:t>105C</w:t>
            </w:r>
            <w:r w:rsidR="00A03050">
              <w:rPr>
                <w:rFonts w:eastAsia="Calibri"/>
                <w:lang w:val="en-CA"/>
              </w:rPr>
              <w:t>-</w:t>
            </w:r>
            <w:r w:rsidR="008B7068" w:rsidRPr="008B7068">
              <w:rPr>
                <w:rFonts w:eastAsia="Calibri"/>
                <w:lang w:val="en-CA"/>
              </w:rPr>
              <w:t>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7E40" w14:textId="3C78A5C0" w:rsidR="00756C58" w:rsidRPr="00756C58" w:rsidRDefault="00A03050" w:rsidP="005A1FA9">
            <w:pPr>
              <w:spacing w:before="0" w:after="0"/>
              <w:jc w:val="center"/>
              <w:rPr>
                <w:rFonts w:eastAsia="Calibri"/>
                <w:lang w:val="en-CA"/>
              </w:rPr>
            </w:pPr>
            <w:r>
              <w:rPr>
                <w:rFonts w:eastAsia="Calibri"/>
                <w:lang w:val="en-CA"/>
              </w:rPr>
              <w:t>2019-04-01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59B4" w14:textId="77777777" w:rsidR="00756C58" w:rsidRPr="00756C58" w:rsidRDefault="00756C58" w:rsidP="005A1FA9">
            <w:pPr>
              <w:spacing w:before="0" w:after="0"/>
              <w:jc w:val="left"/>
              <w:rPr>
                <w:rFonts w:eastAsia="Calibri"/>
                <w:lang w:val="en-CA"/>
              </w:rPr>
            </w:pPr>
            <w:r w:rsidRPr="00756C58">
              <w:rPr>
                <w:rFonts w:eastAsia="Calibri"/>
                <w:lang w:val="en-CA"/>
              </w:rPr>
              <w:t xml:space="preserve">Original </w:t>
            </w:r>
            <w:r w:rsidR="00B43B4B">
              <w:rPr>
                <w:rFonts w:eastAsia="Calibri"/>
                <w:lang w:val="en-CA"/>
              </w:rPr>
              <w:t>v</w:t>
            </w:r>
            <w:r w:rsidRPr="00756C58">
              <w:rPr>
                <w:rFonts w:eastAsia="Calibri"/>
                <w:lang w:val="en-CA"/>
              </w:rPr>
              <w:t>ersion</w:t>
            </w:r>
          </w:p>
        </w:tc>
      </w:tr>
      <w:tr w:rsidR="00756C58" w:rsidRPr="00756C58" w14:paraId="61C0BFB8" w14:textId="77777777" w:rsidTr="0030704D"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7C25E" w14:textId="75999E42" w:rsidR="00756C58" w:rsidRPr="00756C58" w:rsidRDefault="00A03050" w:rsidP="005A1FA9">
            <w:pPr>
              <w:spacing w:before="0" w:after="0"/>
              <w:jc w:val="left"/>
              <w:rPr>
                <w:rFonts w:eastAsia="Calibri"/>
                <w:lang w:val="en-CA"/>
              </w:rPr>
            </w:pPr>
            <w:r w:rsidRPr="00756C58">
              <w:rPr>
                <w:rFonts w:eastAsia="Calibri"/>
                <w:lang w:val="en-CA"/>
              </w:rPr>
              <w:t>REB</w:t>
            </w:r>
            <w:r>
              <w:rPr>
                <w:rFonts w:eastAsia="Calibri"/>
                <w:lang w:val="en-CA"/>
              </w:rPr>
              <w:t>-</w:t>
            </w:r>
            <w:r w:rsidRPr="00756C58">
              <w:rPr>
                <w:rFonts w:eastAsia="Calibri"/>
                <w:lang w:val="en-CA"/>
              </w:rPr>
              <w:t>SOP</w:t>
            </w:r>
            <w:r>
              <w:rPr>
                <w:rFonts w:eastAsia="Calibri"/>
                <w:lang w:val="en-CA"/>
              </w:rPr>
              <w:t xml:space="preserve"> </w:t>
            </w:r>
            <w:r w:rsidRPr="008B7068">
              <w:rPr>
                <w:rFonts w:eastAsia="Calibri"/>
                <w:lang w:val="en-CA"/>
              </w:rPr>
              <w:t>105C</w:t>
            </w:r>
            <w:r>
              <w:rPr>
                <w:rFonts w:eastAsia="Calibri"/>
                <w:lang w:val="en-CA"/>
              </w:rPr>
              <w:t>-</w:t>
            </w:r>
            <w:r w:rsidRPr="008B7068">
              <w:rPr>
                <w:rFonts w:eastAsia="Calibri"/>
                <w:lang w:val="en-CA"/>
              </w:rPr>
              <w:t>00</w:t>
            </w:r>
            <w:r>
              <w:rPr>
                <w:rFonts w:eastAsia="Calibri"/>
                <w:lang w:val="en-C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4E7C" w14:textId="4F2E1286" w:rsidR="00756C58" w:rsidRPr="00756C58" w:rsidRDefault="00A03050" w:rsidP="005A1FA9">
            <w:pPr>
              <w:spacing w:before="0" w:after="0"/>
              <w:jc w:val="center"/>
              <w:rPr>
                <w:rFonts w:eastAsia="Calibri"/>
                <w:lang w:val="en-CA"/>
              </w:rPr>
            </w:pPr>
            <w:r w:rsidRPr="00756C58">
              <w:rPr>
                <w:rFonts w:eastAsia="Calibri"/>
                <w:lang w:val="en-CA"/>
              </w:rPr>
              <w:t>YYYY-MM-DD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3D6B" w14:textId="1D3A7C3C" w:rsidR="00756C58" w:rsidRDefault="00A03050" w:rsidP="005A1FA9">
            <w:pPr>
              <w:spacing w:before="0" w:after="0"/>
              <w:jc w:val="left"/>
              <w:rPr>
                <w:rFonts w:eastAsia="Calibri"/>
                <w:lang w:val="en-CA"/>
              </w:rPr>
            </w:pPr>
            <w:r>
              <w:rPr>
                <w:rFonts w:eastAsia="Calibri"/>
                <w:lang w:val="en-CA"/>
              </w:rPr>
              <w:t xml:space="preserve">Updated </w:t>
            </w:r>
            <w:r w:rsidR="009971EF">
              <w:rPr>
                <w:rFonts w:eastAsia="Calibri"/>
                <w:lang w:val="en-CA"/>
              </w:rPr>
              <w:t xml:space="preserve">in line with </w:t>
            </w:r>
            <w:r>
              <w:rPr>
                <w:rFonts w:eastAsia="Calibri"/>
                <w:lang w:val="en-CA"/>
              </w:rPr>
              <w:t xml:space="preserve">regulations in </w:t>
            </w:r>
            <w:proofErr w:type="gramStart"/>
            <w:r>
              <w:rPr>
                <w:rFonts w:eastAsia="Calibri"/>
                <w:lang w:val="en-CA"/>
              </w:rPr>
              <w:t>effect</w:t>
            </w:r>
            <w:proofErr w:type="gramEnd"/>
          </w:p>
          <w:p w14:paraId="2BF7F00C" w14:textId="497E5C68" w:rsidR="009971EF" w:rsidRPr="00756C58" w:rsidRDefault="009971EF" w:rsidP="005A1FA9">
            <w:pPr>
              <w:spacing w:before="0" w:after="0"/>
              <w:jc w:val="left"/>
              <w:rPr>
                <w:rFonts w:eastAsia="Calibri"/>
                <w:lang w:val="en-CA"/>
              </w:rPr>
            </w:pPr>
            <w:r>
              <w:rPr>
                <w:rFonts w:eastAsia="Calibri"/>
                <w:lang w:val="en-CA"/>
              </w:rPr>
              <w:t>Updated references</w:t>
            </w:r>
          </w:p>
        </w:tc>
      </w:tr>
      <w:tr w:rsidR="00756C58" w:rsidRPr="00756C58" w14:paraId="685550A2" w14:textId="77777777" w:rsidTr="0030704D"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7DAFF" w14:textId="77777777" w:rsidR="00756C58" w:rsidRPr="00756C58" w:rsidRDefault="00756C58" w:rsidP="005A1FA9">
            <w:pPr>
              <w:spacing w:before="0" w:after="0"/>
              <w:jc w:val="left"/>
              <w:rPr>
                <w:rFonts w:eastAsia="Calibri"/>
                <w:lang w:val="en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4AB9" w14:textId="77777777" w:rsidR="00756C58" w:rsidRPr="00756C58" w:rsidRDefault="00756C58" w:rsidP="005A1FA9">
            <w:pPr>
              <w:spacing w:before="0" w:after="0"/>
              <w:jc w:val="center"/>
              <w:rPr>
                <w:rFonts w:eastAsia="Calibri"/>
                <w:lang w:val="en-C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45C3" w14:textId="77777777" w:rsidR="00756C58" w:rsidRPr="00756C58" w:rsidRDefault="00756C58" w:rsidP="005A1FA9">
            <w:pPr>
              <w:spacing w:before="0" w:after="0"/>
              <w:jc w:val="left"/>
              <w:rPr>
                <w:rFonts w:eastAsia="Calibri"/>
                <w:lang w:val="en-CA"/>
              </w:rPr>
            </w:pPr>
          </w:p>
        </w:tc>
      </w:tr>
    </w:tbl>
    <w:p w14:paraId="2C034E5D" w14:textId="77777777" w:rsidR="00756C58" w:rsidRPr="00756C58" w:rsidRDefault="002E18ED" w:rsidP="005A1FA9">
      <w:pPr>
        <w:pStyle w:val="Titre1"/>
        <w:widowControl/>
      </w:pPr>
      <w:bookmarkStart w:id="8" w:name="_Toc10554377"/>
      <w:bookmarkStart w:id="9" w:name="_Toc151123931"/>
      <w:r>
        <w:t>Appendices</w:t>
      </w:r>
      <w:bookmarkEnd w:id="8"/>
      <w:bookmarkEnd w:id="9"/>
    </w:p>
    <w:p w14:paraId="15E214C3" w14:textId="77777777" w:rsidR="00756C58" w:rsidRPr="00756C58" w:rsidRDefault="00756C58" w:rsidP="005A1FA9">
      <w:pPr>
        <w:rPr>
          <w:lang w:val="en-CA"/>
        </w:rPr>
      </w:pPr>
    </w:p>
    <w:sectPr w:rsidR="00756C58" w:rsidRPr="00756C58" w:rsidSect="0030269A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1A0D" w14:textId="77777777" w:rsidR="00F96D78" w:rsidRDefault="00F96D78" w:rsidP="0030269A">
      <w:pPr>
        <w:spacing w:before="0" w:after="0"/>
      </w:pPr>
      <w:r>
        <w:separator/>
      </w:r>
    </w:p>
  </w:endnote>
  <w:endnote w:type="continuationSeparator" w:id="0">
    <w:p w14:paraId="3C64FAA8" w14:textId="77777777" w:rsidR="00F96D78" w:rsidRDefault="00F96D78" w:rsidP="003026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orps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9115" w14:textId="77777777" w:rsidR="002E18ED" w:rsidRPr="00627E38" w:rsidRDefault="002E18ED" w:rsidP="002E18ED">
    <w:pPr>
      <w:pStyle w:val="Pieddepage"/>
      <w:pBdr>
        <w:bottom w:val="single" w:sz="4" w:space="1" w:color="auto"/>
      </w:pBdr>
      <w:rPr>
        <w:sz w:val="20"/>
        <w:szCs w:val="20"/>
      </w:rPr>
    </w:pPr>
  </w:p>
  <w:p w14:paraId="64E2A02E" w14:textId="6E16BA5B" w:rsidR="002E18ED" w:rsidRPr="002E18ED" w:rsidRDefault="002E18ED" w:rsidP="22F065B8">
    <w:pPr>
      <w:pStyle w:val="Pieddepage"/>
      <w:tabs>
        <w:tab w:val="clear" w:pos="4153"/>
        <w:tab w:val="clear" w:pos="8306"/>
        <w:tab w:val="right" w:pos="10065"/>
      </w:tabs>
      <w:rPr>
        <w:sz w:val="20"/>
        <w:szCs w:val="20"/>
        <w:lang w:val="en-US"/>
      </w:rPr>
    </w:pPr>
    <w:r w:rsidRPr="790FAFCF">
      <w:rPr>
        <w:color w:val="A6A6A6" w:themeColor="background1" w:themeShade="A6"/>
        <w:sz w:val="20"/>
        <w:szCs w:val="20"/>
        <w:lang w:val="en-US"/>
      </w:rPr>
      <w:t>N2 CAREB</w:t>
    </w:r>
    <w:r w:rsidR="00EB13DF">
      <w:rPr>
        <w:color w:val="A6A6A6" w:themeColor="background1" w:themeShade="A6"/>
        <w:sz w:val="20"/>
        <w:szCs w:val="20"/>
        <w:lang w:val="en-US"/>
      </w:rPr>
      <w:t xml:space="preserve"> SOP updated to reflect Quebec standards</w:t>
    </w:r>
    <w:r w:rsidRPr="002E18ED">
      <w:rPr>
        <w:rFonts w:cstheme="minorHAnsi"/>
        <w:sz w:val="20"/>
        <w:szCs w:val="20"/>
        <w:lang w:val="en-US"/>
      </w:rPr>
      <w:tab/>
    </w:r>
    <w:r w:rsidRPr="790FAFCF">
      <w:rPr>
        <w:sz w:val="20"/>
        <w:szCs w:val="20"/>
        <w:lang w:val="en-US"/>
      </w:rPr>
      <w:t xml:space="preserve">Page </w:t>
    </w:r>
    <w:r w:rsidRPr="790FAFCF">
      <w:rPr>
        <w:sz w:val="20"/>
        <w:szCs w:val="20"/>
        <w:lang w:val="en-US"/>
      </w:rPr>
      <w:fldChar w:fldCharType="begin"/>
    </w:r>
    <w:r w:rsidRPr="002E18ED">
      <w:rPr>
        <w:rFonts w:cstheme="minorHAnsi"/>
        <w:sz w:val="20"/>
        <w:szCs w:val="20"/>
        <w:lang w:val="en-US"/>
      </w:rPr>
      <w:instrText xml:space="preserve"> PAGE </w:instrText>
    </w:r>
    <w:r w:rsidRPr="790FAFCF">
      <w:rPr>
        <w:rFonts w:cstheme="minorHAnsi"/>
        <w:sz w:val="20"/>
        <w:szCs w:val="20"/>
        <w:lang w:val="en-CA"/>
      </w:rPr>
      <w:fldChar w:fldCharType="separate"/>
    </w:r>
    <w:r w:rsidRPr="790FAFCF">
      <w:rPr>
        <w:sz w:val="20"/>
        <w:szCs w:val="20"/>
        <w:lang w:val="en-US"/>
      </w:rPr>
      <w:t>1</w:t>
    </w:r>
    <w:r w:rsidRPr="790FAFCF">
      <w:rPr>
        <w:sz w:val="20"/>
        <w:szCs w:val="20"/>
        <w:lang w:val="en-US"/>
      </w:rPr>
      <w:fldChar w:fldCharType="end"/>
    </w:r>
    <w:r w:rsidRPr="790FAFCF">
      <w:rPr>
        <w:sz w:val="20"/>
        <w:szCs w:val="20"/>
        <w:lang w:val="en-US"/>
      </w:rPr>
      <w:t xml:space="preserve"> of </w:t>
    </w:r>
    <w:r w:rsidRPr="790FAFCF">
      <w:rPr>
        <w:sz w:val="20"/>
        <w:szCs w:val="20"/>
        <w:lang w:val="en-US"/>
      </w:rPr>
      <w:fldChar w:fldCharType="begin"/>
    </w:r>
    <w:r w:rsidRPr="002E18ED">
      <w:rPr>
        <w:rFonts w:cstheme="minorHAnsi"/>
        <w:sz w:val="20"/>
        <w:szCs w:val="20"/>
        <w:lang w:val="en-US"/>
      </w:rPr>
      <w:instrText xml:space="preserve"> NUMPAGES </w:instrText>
    </w:r>
    <w:r w:rsidRPr="790FAFCF">
      <w:rPr>
        <w:rFonts w:cstheme="minorHAnsi"/>
        <w:sz w:val="20"/>
        <w:szCs w:val="20"/>
        <w:lang w:val="en-CA"/>
      </w:rPr>
      <w:fldChar w:fldCharType="separate"/>
    </w:r>
    <w:r w:rsidRPr="790FAFCF">
      <w:rPr>
        <w:sz w:val="20"/>
        <w:szCs w:val="20"/>
        <w:lang w:val="en-US"/>
      </w:rPr>
      <w:t>1</w:t>
    </w:r>
    <w:r w:rsidRPr="790FAFCF">
      <w:rPr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092A3" w14:textId="77777777" w:rsidR="00F96D78" w:rsidRDefault="00F96D78" w:rsidP="0030269A">
      <w:pPr>
        <w:spacing w:before="0" w:after="0"/>
      </w:pPr>
      <w:r>
        <w:separator/>
      </w:r>
    </w:p>
  </w:footnote>
  <w:footnote w:type="continuationSeparator" w:id="0">
    <w:p w14:paraId="480AF34A" w14:textId="77777777" w:rsidR="00F96D78" w:rsidRDefault="00F96D78" w:rsidP="0030269A">
      <w:pPr>
        <w:spacing w:before="0" w:after="0"/>
      </w:pPr>
      <w:r>
        <w:continuationSeparator/>
      </w:r>
    </w:p>
  </w:footnote>
  <w:footnote w:id="1">
    <w:p w14:paraId="1713CCB5" w14:textId="4F0F0B37" w:rsidR="00EB13DF" w:rsidRPr="00A97B8D" w:rsidRDefault="00EB13DF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en-CA"/>
        </w:rPr>
        <w:tab/>
      </w:r>
      <w:r w:rsidRPr="004B0D01">
        <w:rPr>
          <w:highlight w:val="yellow"/>
          <w:lang w:val="en-CA"/>
        </w:rPr>
        <w:t>Include reference to the policy in force at the institution.</w:t>
      </w:r>
    </w:p>
  </w:footnote>
  <w:footnote w:id="2">
    <w:p w14:paraId="119C1388" w14:textId="1EAE22D9" w:rsidR="00EB13DF" w:rsidRPr="00087753" w:rsidRDefault="00EB13DF" w:rsidP="00EB13DF">
      <w:pPr>
        <w:pStyle w:val="Notedebasdepage"/>
      </w:pPr>
      <w:r w:rsidRPr="00087753">
        <w:rPr>
          <w:rStyle w:val="Appelnotedebasdep"/>
        </w:rPr>
        <w:footnoteRef/>
      </w:r>
      <w:r w:rsidRPr="00087753">
        <w:t xml:space="preserve"> </w:t>
      </w:r>
      <w:r w:rsidRPr="00087753">
        <w:tab/>
      </w:r>
      <w:r w:rsidRPr="00087753">
        <w:rPr>
          <w:i/>
          <w:iCs/>
        </w:rPr>
        <w:t>Cadre de référence ministériel pour la recherche avec des participants humains</w:t>
      </w:r>
      <w:r w:rsidRPr="00087753">
        <w:t xml:space="preserve">, </w:t>
      </w:r>
      <w:r w:rsidRPr="00A97B8D">
        <w:rPr>
          <w:i/>
          <w:iCs/>
        </w:rPr>
        <w:t>Gouvernement du Québec, Ministère de la Santé et des Services sociaux</w:t>
      </w:r>
      <w:r w:rsidRPr="00087753">
        <w:t xml:space="preserve">, </w:t>
      </w:r>
      <w:r>
        <w:rPr>
          <w:lang w:val="en-CA"/>
        </w:rPr>
        <w:t>October</w:t>
      </w:r>
      <w:r w:rsidRPr="00A97B8D">
        <w:rPr>
          <w:lang w:val="en-CA"/>
        </w:rPr>
        <w:t xml:space="preserve"> 2020, </w:t>
      </w:r>
      <w:r>
        <w:rPr>
          <w:lang w:val="en-CA"/>
        </w:rPr>
        <w:t>hereafter “</w:t>
      </w:r>
      <w:r w:rsidRPr="00A97B8D">
        <w:rPr>
          <w:i/>
          <w:iCs/>
          <w:lang w:val="en-CA"/>
        </w:rPr>
        <w:t>Cadre</w:t>
      </w:r>
      <w:r>
        <w:rPr>
          <w:lang w:val="en-CA"/>
        </w:rPr>
        <w:t xml:space="preserve">”, </w:t>
      </w:r>
      <w:r w:rsidRPr="00A97B8D">
        <w:rPr>
          <w:lang w:val="en-CA"/>
        </w:rPr>
        <w:t>art. 2.1.</w:t>
      </w:r>
    </w:p>
  </w:footnote>
  <w:footnote w:id="3">
    <w:p w14:paraId="669F8169" w14:textId="6D81DDB5" w:rsidR="00EB13DF" w:rsidRPr="009608D9" w:rsidRDefault="00EB13DF" w:rsidP="00EB13DF">
      <w:pPr>
        <w:pStyle w:val="Notedebasdepage"/>
        <w:rPr>
          <w:highlight w:val="yellow"/>
        </w:rPr>
      </w:pPr>
      <w:r w:rsidRPr="00087753">
        <w:rPr>
          <w:rStyle w:val="Appelnotedebasdep"/>
        </w:rPr>
        <w:footnoteRef/>
      </w:r>
      <w:r w:rsidRPr="00087753">
        <w:t xml:space="preserve"> </w:t>
      </w:r>
      <w:r w:rsidRPr="00087753">
        <w:tab/>
      </w:r>
      <w:r>
        <w:rPr>
          <w:i/>
          <w:iCs/>
          <w:lang w:val="en-CA"/>
        </w:rPr>
        <w:t>Cadre</w:t>
      </w:r>
      <w:r w:rsidRPr="00A97B8D">
        <w:rPr>
          <w:lang w:val="en-CA"/>
        </w:rPr>
        <w:t>, art. 2.4.4.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4513" w14:textId="77777777" w:rsidR="0030269A" w:rsidRDefault="0030269A" w:rsidP="0030269A">
    <w:pPr>
      <w:pStyle w:val="En-tte"/>
    </w:pPr>
  </w:p>
  <w:tbl>
    <w:tblPr>
      <w:tblW w:w="0" w:type="auto"/>
      <w:tblLook w:val="04A0" w:firstRow="1" w:lastRow="0" w:firstColumn="1" w:lastColumn="0" w:noHBand="0" w:noVBand="1"/>
    </w:tblPr>
    <w:tblGrid>
      <w:gridCol w:w="4957"/>
      <w:gridCol w:w="5113"/>
    </w:tblGrid>
    <w:tr w:rsidR="0030269A" w:rsidRPr="005A11F5" w14:paraId="28C5E51E" w14:textId="77777777" w:rsidTr="58B8826E">
      <w:trPr>
        <w:trHeight w:val="567"/>
      </w:trPr>
      <w:tc>
        <w:tcPr>
          <w:tcW w:w="4957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73F29116" w14:textId="0B5000F7" w:rsidR="0030269A" w:rsidRPr="00406030" w:rsidRDefault="0030269A" w:rsidP="0030269A">
          <w:pPr>
            <w:pStyle w:val="En-tte"/>
            <w:rPr>
              <w:rFonts w:eastAsia="Calibri"/>
            </w:rPr>
          </w:pPr>
        </w:p>
      </w:tc>
      <w:tc>
        <w:tcPr>
          <w:tcW w:w="51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B4F91F" w14:textId="07BFAE4B" w:rsidR="0030269A" w:rsidRPr="00D0004E" w:rsidRDefault="58B8826E" w:rsidP="58B8826E">
          <w:pPr>
            <w:spacing w:before="0" w:after="0"/>
            <w:jc w:val="right"/>
            <w:rPr>
              <w:sz w:val="32"/>
              <w:szCs w:val="32"/>
              <w:lang w:val="en-US"/>
            </w:rPr>
          </w:pPr>
          <w:r w:rsidRPr="58B8826E">
            <w:rPr>
              <w:sz w:val="32"/>
              <w:szCs w:val="32"/>
              <w:lang w:val="en-US"/>
            </w:rPr>
            <w:t>REB-SOP</w:t>
          </w:r>
          <w:r w:rsidR="00660163">
            <w:rPr>
              <w:sz w:val="32"/>
              <w:szCs w:val="32"/>
              <w:lang w:val="en-US"/>
            </w:rPr>
            <w:t xml:space="preserve"> </w:t>
          </w:r>
          <w:r w:rsidR="008B7068" w:rsidRPr="008B7068">
            <w:rPr>
              <w:sz w:val="32"/>
              <w:szCs w:val="32"/>
              <w:lang w:val="en-US"/>
            </w:rPr>
            <w:t>105C</w:t>
          </w:r>
          <w:r w:rsidR="00EB13DF">
            <w:rPr>
              <w:sz w:val="32"/>
              <w:szCs w:val="32"/>
              <w:lang w:val="en-US"/>
            </w:rPr>
            <w:t>-002</w:t>
          </w:r>
        </w:p>
      </w:tc>
    </w:tr>
    <w:tr w:rsidR="0030269A" w:rsidRPr="005A11F5" w14:paraId="61BECC20" w14:textId="77777777" w:rsidTr="58B8826E">
      <w:trPr>
        <w:trHeight w:val="567"/>
      </w:trPr>
      <w:tc>
        <w:tcPr>
          <w:tcW w:w="4957" w:type="dxa"/>
          <w:vMerge/>
        </w:tcPr>
        <w:p w14:paraId="4AF374FB" w14:textId="77777777" w:rsidR="0030269A" w:rsidRPr="002F7EC5" w:rsidRDefault="0030269A" w:rsidP="0030269A">
          <w:pPr>
            <w:pStyle w:val="En-tte"/>
            <w:rPr>
              <w:rFonts w:eastAsia="Calibri"/>
              <w:lang w:val="en-US"/>
            </w:rPr>
          </w:pPr>
        </w:p>
      </w:tc>
      <w:tc>
        <w:tcPr>
          <w:tcW w:w="51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8DBAD27" w14:textId="77777777" w:rsidR="0030269A" w:rsidRPr="002F7EC5" w:rsidRDefault="0030269A" w:rsidP="0030269A">
          <w:pPr>
            <w:spacing w:before="0" w:after="0"/>
            <w:jc w:val="right"/>
            <w:rPr>
              <w:lang w:val="en-US"/>
            </w:rPr>
          </w:pPr>
          <w:r w:rsidRPr="002F7EC5">
            <w:rPr>
              <w:lang w:val="en-US"/>
            </w:rPr>
            <w:t>Research Ethics Board</w:t>
          </w:r>
        </w:p>
        <w:p w14:paraId="1E8EA78F" w14:textId="77777777" w:rsidR="0030269A" w:rsidRPr="002F7EC5" w:rsidRDefault="0030269A" w:rsidP="0030269A">
          <w:pPr>
            <w:spacing w:before="0" w:after="0"/>
            <w:jc w:val="right"/>
            <w:rPr>
              <w:lang w:val="en-US"/>
            </w:rPr>
          </w:pPr>
          <w:r w:rsidRPr="002F7EC5">
            <w:rPr>
              <w:lang w:val="en-US"/>
            </w:rPr>
            <w:t>Standard Operating Procedure</w:t>
          </w:r>
        </w:p>
      </w:tc>
    </w:tr>
  </w:tbl>
  <w:p w14:paraId="6FA9C3C9" w14:textId="77777777" w:rsidR="0030269A" w:rsidRPr="002F7EC5" w:rsidRDefault="0030269A" w:rsidP="0030269A">
    <w:pPr>
      <w:pStyle w:val="En-tte"/>
      <w:rPr>
        <w:lang w:val="en-US"/>
      </w:rPr>
    </w:pPr>
  </w:p>
  <w:p w14:paraId="5EC8DFE4" w14:textId="77777777" w:rsidR="0030269A" w:rsidRPr="0030269A" w:rsidRDefault="0030269A" w:rsidP="0030269A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42F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8131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4DB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C058C2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D2E0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C28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50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581E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C812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88C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898"/>
    <w:multiLevelType w:val="hybridMultilevel"/>
    <w:tmpl w:val="788C1C56"/>
    <w:lvl w:ilvl="0" w:tplc="6A7A368A">
      <w:start w:val="1"/>
      <w:numFmt w:val="bullet"/>
      <w:pStyle w:val="SOPBulletE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41B0F"/>
    <w:multiLevelType w:val="hybridMultilevel"/>
    <w:tmpl w:val="1B20E102"/>
    <w:lvl w:ilvl="0" w:tplc="ACBAD9B0">
      <w:start w:val="1"/>
      <w:numFmt w:val="bullet"/>
      <w:pStyle w:val="SOPBulletD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B59B6"/>
    <w:multiLevelType w:val="multilevel"/>
    <w:tmpl w:val="040C001D"/>
    <w:numStyleLink w:val="SOPListeHyrarchise"/>
  </w:abstractNum>
  <w:abstractNum w:abstractNumId="13" w15:restartNumberingAfterBreak="0">
    <w:nsid w:val="07D534B7"/>
    <w:multiLevelType w:val="multilevel"/>
    <w:tmpl w:val="040C001D"/>
    <w:styleLink w:val="SOPListeHyrarchise"/>
    <w:lvl w:ilvl="0">
      <w:start w:val="1"/>
      <w:numFmt w:val="decimal"/>
      <w:pStyle w:val="Paragraphedeliste"/>
      <w:lvlText w:val="%1)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F66311D"/>
    <w:multiLevelType w:val="multilevel"/>
    <w:tmpl w:val="0826E1F8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10F6859"/>
    <w:multiLevelType w:val="hybridMultilevel"/>
    <w:tmpl w:val="DDD4AE18"/>
    <w:lvl w:ilvl="0" w:tplc="7804B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E4FDE"/>
    <w:multiLevelType w:val="hybridMultilevel"/>
    <w:tmpl w:val="F336E32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C62E09"/>
    <w:multiLevelType w:val="hybridMultilevel"/>
    <w:tmpl w:val="506241DC"/>
    <w:lvl w:ilvl="0" w:tplc="0268C834">
      <w:start w:val="1"/>
      <w:numFmt w:val="bullet"/>
      <w:pStyle w:val="SOPBulletC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0992"/>
    <w:multiLevelType w:val="hybridMultilevel"/>
    <w:tmpl w:val="1C7E680E"/>
    <w:lvl w:ilvl="0" w:tplc="7E0AEC1A">
      <w:start w:val="1"/>
      <w:numFmt w:val="bullet"/>
      <w:pStyle w:val="SOPBulletB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12ECD"/>
    <w:multiLevelType w:val="multilevel"/>
    <w:tmpl w:val="F0DCF0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B3715A1"/>
    <w:multiLevelType w:val="multilevel"/>
    <w:tmpl w:val="040C001D"/>
    <w:numStyleLink w:val="SOPListeHyrarchise"/>
  </w:abstractNum>
  <w:abstractNum w:abstractNumId="21" w15:restartNumberingAfterBreak="0">
    <w:nsid w:val="67060CBB"/>
    <w:multiLevelType w:val="hybridMultilevel"/>
    <w:tmpl w:val="43E4D32E"/>
    <w:lvl w:ilvl="0" w:tplc="3B442E54">
      <w:start w:val="1"/>
      <w:numFmt w:val="bullet"/>
      <w:pStyle w:val="SOPBulletA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879C2"/>
    <w:multiLevelType w:val="multilevel"/>
    <w:tmpl w:val="4392853E"/>
    <w:lvl w:ilvl="0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1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u w:val="none" w:color="000000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71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3" w:hanging="1440"/>
      </w:pPr>
      <w:rPr>
        <w:rFonts w:hint="default"/>
      </w:rPr>
    </w:lvl>
  </w:abstractNum>
  <w:num w:numId="1" w16cid:durableId="1102341570">
    <w:abstractNumId w:val="14"/>
  </w:num>
  <w:num w:numId="2" w16cid:durableId="1012798966">
    <w:abstractNumId w:val="19"/>
  </w:num>
  <w:num w:numId="3" w16cid:durableId="1541281607">
    <w:abstractNumId w:val="22"/>
  </w:num>
  <w:num w:numId="4" w16cid:durableId="432894509">
    <w:abstractNumId w:val="4"/>
  </w:num>
  <w:num w:numId="5" w16cid:durableId="1188367234">
    <w:abstractNumId w:val="5"/>
  </w:num>
  <w:num w:numId="6" w16cid:durableId="443422058">
    <w:abstractNumId w:val="6"/>
  </w:num>
  <w:num w:numId="7" w16cid:durableId="1814634484">
    <w:abstractNumId w:val="7"/>
  </w:num>
  <w:num w:numId="8" w16cid:durableId="1622497617">
    <w:abstractNumId w:val="9"/>
  </w:num>
  <w:num w:numId="9" w16cid:durableId="820079792">
    <w:abstractNumId w:val="0"/>
  </w:num>
  <w:num w:numId="10" w16cid:durableId="1898130191">
    <w:abstractNumId w:val="1"/>
  </w:num>
  <w:num w:numId="11" w16cid:durableId="614948307">
    <w:abstractNumId w:val="2"/>
  </w:num>
  <w:num w:numId="12" w16cid:durableId="1143501621">
    <w:abstractNumId w:val="3"/>
  </w:num>
  <w:num w:numId="13" w16cid:durableId="1938560499">
    <w:abstractNumId w:val="8"/>
  </w:num>
  <w:num w:numId="14" w16cid:durableId="2089881427">
    <w:abstractNumId w:val="18"/>
  </w:num>
  <w:num w:numId="15" w16cid:durableId="1763380134">
    <w:abstractNumId w:val="17"/>
  </w:num>
  <w:num w:numId="16" w16cid:durableId="976105460">
    <w:abstractNumId w:val="11"/>
  </w:num>
  <w:num w:numId="17" w16cid:durableId="476269241">
    <w:abstractNumId w:val="10"/>
  </w:num>
  <w:num w:numId="18" w16cid:durableId="177888237">
    <w:abstractNumId w:val="21"/>
  </w:num>
  <w:num w:numId="19" w16cid:durableId="954756613">
    <w:abstractNumId w:val="15"/>
  </w:num>
  <w:num w:numId="20" w16cid:durableId="1079910305">
    <w:abstractNumId w:val="13"/>
  </w:num>
  <w:num w:numId="21" w16cid:durableId="710571576">
    <w:abstractNumId w:val="12"/>
  </w:num>
  <w:num w:numId="22" w16cid:durableId="998924903">
    <w:abstractNumId w:val="20"/>
  </w:num>
  <w:num w:numId="23" w16cid:durableId="9123997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8"/>
    <w:rsid w:val="00012A3D"/>
    <w:rsid w:val="0002610A"/>
    <w:rsid w:val="000731F7"/>
    <w:rsid w:val="000C3D7F"/>
    <w:rsid w:val="000D60A3"/>
    <w:rsid w:val="00226DCF"/>
    <w:rsid w:val="00240222"/>
    <w:rsid w:val="00283978"/>
    <w:rsid w:val="0028581A"/>
    <w:rsid w:val="002B5BA5"/>
    <w:rsid w:val="002B5EA6"/>
    <w:rsid w:val="002E18ED"/>
    <w:rsid w:val="002E750D"/>
    <w:rsid w:val="0030269A"/>
    <w:rsid w:val="00302BF0"/>
    <w:rsid w:val="0032222C"/>
    <w:rsid w:val="00381E3D"/>
    <w:rsid w:val="00386EA4"/>
    <w:rsid w:val="00407B78"/>
    <w:rsid w:val="004374F7"/>
    <w:rsid w:val="00444D39"/>
    <w:rsid w:val="00492D29"/>
    <w:rsid w:val="00493687"/>
    <w:rsid w:val="004B0D01"/>
    <w:rsid w:val="004D41E8"/>
    <w:rsid w:val="00542A47"/>
    <w:rsid w:val="0059613B"/>
    <w:rsid w:val="005A11F5"/>
    <w:rsid w:val="005A1FA9"/>
    <w:rsid w:val="005F4759"/>
    <w:rsid w:val="00622A96"/>
    <w:rsid w:val="00660163"/>
    <w:rsid w:val="006679F4"/>
    <w:rsid w:val="006A4376"/>
    <w:rsid w:val="006D3B72"/>
    <w:rsid w:val="00753239"/>
    <w:rsid w:val="00756C58"/>
    <w:rsid w:val="00802F4C"/>
    <w:rsid w:val="00861AE8"/>
    <w:rsid w:val="00861CD2"/>
    <w:rsid w:val="008729A6"/>
    <w:rsid w:val="008A587F"/>
    <w:rsid w:val="008B7068"/>
    <w:rsid w:val="008E5297"/>
    <w:rsid w:val="008F4B93"/>
    <w:rsid w:val="009754E0"/>
    <w:rsid w:val="00986A54"/>
    <w:rsid w:val="009971EF"/>
    <w:rsid w:val="009F3526"/>
    <w:rsid w:val="00A03050"/>
    <w:rsid w:val="00A26CA7"/>
    <w:rsid w:val="00A313CE"/>
    <w:rsid w:val="00A64D46"/>
    <w:rsid w:val="00A967C9"/>
    <w:rsid w:val="00A97B8D"/>
    <w:rsid w:val="00B43B4B"/>
    <w:rsid w:val="00B66BD6"/>
    <w:rsid w:val="00B66EA8"/>
    <w:rsid w:val="00CE63B7"/>
    <w:rsid w:val="00CF4102"/>
    <w:rsid w:val="00D14E15"/>
    <w:rsid w:val="00D86D3C"/>
    <w:rsid w:val="00DA3D1B"/>
    <w:rsid w:val="00DC2BA3"/>
    <w:rsid w:val="00DE33B5"/>
    <w:rsid w:val="00E428CC"/>
    <w:rsid w:val="00E83DF3"/>
    <w:rsid w:val="00EB13DF"/>
    <w:rsid w:val="00EC101E"/>
    <w:rsid w:val="00EC34C7"/>
    <w:rsid w:val="00F443B2"/>
    <w:rsid w:val="00F52C90"/>
    <w:rsid w:val="00F96D78"/>
    <w:rsid w:val="00FC636C"/>
    <w:rsid w:val="00FD5A2D"/>
    <w:rsid w:val="00FD6CDF"/>
    <w:rsid w:val="00FE18A7"/>
    <w:rsid w:val="22F065B8"/>
    <w:rsid w:val="58B8826E"/>
    <w:rsid w:val="790FA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3C38E"/>
  <w14:defaultImageDpi w14:val="32767"/>
  <w15:chartTrackingRefBased/>
  <w15:docId w15:val="{C3D09C04-DE11-4AFE-B3F8-2FD11CD7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29A6"/>
    <w:pPr>
      <w:spacing w:before="240" w:after="240"/>
      <w:jc w:val="both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729A6"/>
    <w:pPr>
      <w:keepNext/>
      <w:widowControl w:val="0"/>
      <w:numPr>
        <w:numId w:val="1"/>
      </w:numPr>
      <w:ind w:left="1138" w:hanging="1138"/>
      <w:outlineLvl w:val="0"/>
    </w:pPr>
    <w:rPr>
      <w:rFonts w:eastAsiaTheme="majorEastAsia" w:cs="Calibri (Corps)"/>
      <w:b/>
      <w:caps/>
      <w:lang w:val="en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36C"/>
    <w:pPr>
      <w:widowControl w:val="0"/>
      <w:numPr>
        <w:ilvl w:val="1"/>
        <w:numId w:val="1"/>
      </w:numPr>
      <w:tabs>
        <w:tab w:val="left" w:pos="1134"/>
      </w:tabs>
      <w:ind w:left="1134" w:hanging="1134"/>
      <w:outlineLvl w:val="1"/>
    </w:pPr>
    <w:rPr>
      <w:rFonts w:eastAsiaTheme="majorEastAsia" w:cstheme="minorHAnsi"/>
      <w:b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36C"/>
    <w:pPr>
      <w:widowControl w:val="0"/>
      <w:numPr>
        <w:ilvl w:val="2"/>
        <w:numId w:val="1"/>
      </w:numPr>
      <w:tabs>
        <w:tab w:val="left" w:pos="1134"/>
      </w:tabs>
      <w:ind w:left="1134" w:hanging="1134"/>
      <w:outlineLvl w:val="2"/>
    </w:pPr>
    <w:rPr>
      <w:rFonts w:eastAsiaTheme="majorEastAsia" w:cstheme="minorHAnsi"/>
      <w:lang w:val="en-C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36C"/>
    <w:pPr>
      <w:widowControl w:val="0"/>
      <w:numPr>
        <w:ilvl w:val="3"/>
        <w:numId w:val="1"/>
      </w:numPr>
      <w:tabs>
        <w:tab w:val="left" w:pos="1134"/>
      </w:tabs>
      <w:ind w:left="1134" w:hanging="1134"/>
      <w:outlineLvl w:val="3"/>
    </w:pPr>
    <w:rPr>
      <w:rFonts w:eastAsiaTheme="majorEastAsia" w:cstheme="minorHAnsi"/>
      <w:iCs/>
      <w:lang w:val="en-C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636C"/>
    <w:pPr>
      <w:widowControl w:val="0"/>
      <w:numPr>
        <w:ilvl w:val="4"/>
        <w:numId w:val="1"/>
      </w:numPr>
      <w:tabs>
        <w:tab w:val="left" w:pos="1134"/>
      </w:tabs>
      <w:ind w:left="1134" w:hanging="1134"/>
      <w:outlineLvl w:val="4"/>
    </w:pPr>
    <w:rPr>
      <w:rFonts w:eastAsiaTheme="majorEastAsia" w:cstheme="minorHAnsi"/>
      <w:lang w:val="en-C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C636C"/>
    <w:pPr>
      <w:widowControl w:val="0"/>
      <w:numPr>
        <w:ilvl w:val="5"/>
        <w:numId w:val="1"/>
      </w:numPr>
      <w:tabs>
        <w:tab w:val="left" w:pos="1134"/>
      </w:tabs>
      <w:ind w:left="1134" w:hanging="1134"/>
      <w:outlineLvl w:val="5"/>
    </w:pPr>
    <w:rPr>
      <w:rFonts w:eastAsiaTheme="majorEastAsia" w:cstheme="minorHAnsi"/>
      <w:lang w:val="en-C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C636C"/>
    <w:pPr>
      <w:widowControl w:val="0"/>
      <w:numPr>
        <w:ilvl w:val="6"/>
        <w:numId w:val="1"/>
      </w:numPr>
      <w:tabs>
        <w:tab w:val="left" w:pos="1276"/>
      </w:tabs>
      <w:ind w:left="1276" w:hanging="1276"/>
      <w:outlineLvl w:val="6"/>
    </w:pPr>
    <w:rPr>
      <w:rFonts w:eastAsiaTheme="majorEastAsia" w:cstheme="minorHAnsi"/>
      <w:iCs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B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B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29A6"/>
    <w:rPr>
      <w:rFonts w:eastAsiaTheme="majorEastAsia" w:cs="Calibri (Corps)"/>
      <w:b/>
      <w:caps/>
      <w:sz w:val="22"/>
      <w:szCs w:val="22"/>
      <w:lang w:val="en-CA"/>
    </w:rPr>
  </w:style>
  <w:style w:type="character" w:customStyle="1" w:styleId="Titre2Car">
    <w:name w:val="Titre 2 Car"/>
    <w:basedOn w:val="Policepardfaut"/>
    <w:link w:val="Titre2"/>
    <w:uiPriority w:val="9"/>
    <w:rsid w:val="00FC636C"/>
    <w:rPr>
      <w:rFonts w:eastAsiaTheme="majorEastAsia" w:cstheme="minorHAnsi"/>
      <w:b/>
      <w:sz w:val="22"/>
      <w:szCs w:val="22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4Car">
    <w:name w:val="Titre 4 Car"/>
    <w:basedOn w:val="Policepardfaut"/>
    <w:link w:val="Titre4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5Car">
    <w:name w:val="Titre 5 Car"/>
    <w:basedOn w:val="Policepardfaut"/>
    <w:link w:val="Titre5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6Car">
    <w:name w:val="Titre 6 Car"/>
    <w:basedOn w:val="Policepardfaut"/>
    <w:link w:val="Titre6"/>
    <w:uiPriority w:val="9"/>
    <w:rsid w:val="00FC636C"/>
    <w:rPr>
      <w:rFonts w:eastAsiaTheme="majorEastAsia" w:cstheme="minorHAnsi"/>
      <w:sz w:val="22"/>
      <w:szCs w:val="22"/>
      <w:lang w:val="en-CA"/>
    </w:rPr>
  </w:style>
  <w:style w:type="character" w:customStyle="1" w:styleId="Titre7Car">
    <w:name w:val="Titre 7 Car"/>
    <w:basedOn w:val="Policepardfaut"/>
    <w:link w:val="Titre7"/>
    <w:uiPriority w:val="9"/>
    <w:rsid w:val="00FC636C"/>
    <w:rPr>
      <w:rFonts w:eastAsiaTheme="majorEastAsia" w:cstheme="minorHAnsi"/>
      <w:iCs/>
      <w:sz w:val="22"/>
      <w:szCs w:val="22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B66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B66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A"/>
    </w:rPr>
  </w:style>
  <w:style w:type="paragraph" w:styleId="En-tte">
    <w:name w:val="header"/>
    <w:basedOn w:val="Normal"/>
    <w:link w:val="En-tteCar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paragraph" w:styleId="TM1">
    <w:name w:val="toc 1"/>
    <w:basedOn w:val="Normal"/>
    <w:next w:val="Normal"/>
    <w:autoRedefine/>
    <w:uiPriority w:val="39"/>
    <w:unhideWhenUsed/>
    <w:rsid w:val="00EB13DF"/>
    <w:pPr>
      <w:tabs>
        <w:tab w:val="left" w:pos="567"/>
        <w:tab w:val="right" w:leader="dot" w:pos="10065"/>
      </w:tabs>
      <w:spacing w:before="0" w:after="0"/>
      <w:ind w:left="567" w:hanging="567"/>
    </w:pPr>
    <w:rPr>
      <w:rFonts w:eastAsiaTheme="minorEastAsia"/>
      <w:noProof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0269A"/>
    <w:pPr>
      <w:tabs>
        <w:tab w:val="left" w:pos="1134"/>
        <w:tab w:val="right" w:leader="dot" w:pos="10065"/>
      </w:tabs>
      <w:spacing w:before="0" w:after="0"/>
      <w:ind w:left="1134" w:hanging="567"/>
    </w:pPr>
    <w:rPr>
      <w:rFonts w:eastAsiaTheme="minorEastAsia"/>
      <w:noProof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567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986A54"/>
    <w:pPr>
      <w:tabs>
        <w:tab w:val="left" w:pos="1134"/>
        <w:tab w:val="right" w:leader="dot" w:pos="8630"/>
      </w:tabs>
      <w:spacing w:before="0" w:after="0"/>
      <w:ind w:left="851"/>
    </w:pPr>
    <w:rPr>
      <w:noProof/>
    </w:rPr>
  </w:style>
  <w:style w:type="character" w:customStyle="1" w:styleId="En-tteCar">
    <w:name w:val="En-tête Car"/>
    <w:basedOn w:val="Policepardfaut"/>
    <w:link w:val="En-tte"/>
    <w:uiPriority w:val="99"/>
    <w:rsid w:val="0030269A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0269A"/>
    <w:pPr>
      <w:tabs>
        <w:tab w:val="center" w:pos="4153"/>
        <w:tab w:val="right" w:pos="830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69A"/>
    <w:rPr>
      <w:sz w:val="22"/>
      <w:szCs w:val="22"/>
      <w:lang w:val="fr-CA"/>
    </w:rPr>
  </w:style>
  <w:style w:type="table" w:styleId="Grilledutableau">
    <w:name w:val="Table Grid"/>
    <w:basedOn w:val="TableauNormal"/>
    <w:uiPriority w:val="59"/>
    <w:rsid w:val="0030269A"/>
    <w:rPr>
      <w:rFonts w:ascii="Calibri" w:eastAsia="Calibri" w:hAnsi="Calibri" w:cs="Times New Roman"/>
      <w:sz w:val="22"/>
      <w:szCs w:val="22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6C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56C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6C58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6C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6C58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6C58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6C58"/>
    <w:rPr>
      <w:rFonts w:ascii="Times New Roman" w:hAnsi="Times New Roman" w:cs="Times New Roman"/>
      <w:sz w:val="18"/>
      <w:szCs w:val="18"/>
      <w:lang w:val="fr-CA"/>
    </w:rPr>
  </w:style>
  <w:style w:type="paragraph" w:styleId="Listenumros">
    <w:name w:val="List Number"/>
    <w:basedOn w:val="Normal"/>
    <w:uiPriority w:val="99"/>
    <w:unhideWhenUsed/>
    <w:rsid w:val="00386EA4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qFormat/>
    <w:rsid w:val="00542A47"/>
    <w:pPr>
      <w:numPr>
        <w:numId w:val="22"/>
      </w:numPr>
      <w:ind w:left="567" w:hanging="567"/>
      <w:contextualSpacing/>
    </w:pPr>
  </w:style>
  <w:style w:type="paragraph" w:customStyle="1" w:styleId="SOPBulletB">
    <w:name w:val="SOP Bullet B"/>
    <w:basedOn w:val="Normal"/>
    <w:qFormat/>
    <w:rsid w:val="0059613B"/>
    <w:pPr>
      <w:numPr>
        <w:numId w:val="14"/>
      </w:numPr>
      <w:spacing w:before="60" w:after="60"/>
      <w:ind w:left="1134" w:hanging="567"/>
    </w:pPr>
    <w:rPr>
      <w:szCs w:val="24"/>
    </w:rPr>
  </w:style>
  <w:style w:type="paragraph" w:customStyle="1" w:styleId="SOPBulletC">
    <w:name w:val="SOP Bullet C"/>
    <w:basedOn w:val="Normal"/>
    <w:qFormat/>
    <w:rsid w:val="0059613B"/>
    <w:pPr>
      <w:numPr>
        <w:numId w:val="15"/>
      </w:numPr>
      <w:spacing w:before="60" w:after="60"/>
      <w:ind w:left="1701" w:hanging="567"/>
    </w:pPr>
    <w:rPr>
      <w:szCs w:val="24"/>
    </w:rPr>
  </w:style>
  <w:style w:type="paragraph" w:customStyle="1" w:styleId="SOPBulletD">
    <w:name w:val="SOP Bullet D"/>
    <w:basedOn w:val="Normal"/>
    <w:qFormat/>
    <w:rsid w:val="0059613B"/>
    <w:pPr>
      <w:numPr>
        <w:numId w:val="16"/>
      </w:numPr>
      <w:spacing w:before="60" w:after="60"/>
      <w:ind w:left="2268" w:hanging="567"/>
    </w:pPr>
    <w:rPr>
      <w:szCs w:val="24"/>
    </w:rPr>
  </w:style>
  <w:style w:type="paragraph" w:customStyle="1" w:styleId="SOPBulletE">
    <w:name w:val="SOP Bullet E"/>
    <w:basedOn w:val="Normal"/>
    <w:qFormat/>
    <w:rsid w:val="0059613B"/>
    <w:pPr>
      <w:numPr>
        <w:numId w:val="17"/>
      </w:numPr>
      <w:spacing w:before="60" w:after="60"/>
      <w:ind w:left="2835" w:hanging="567"/>
    </w:pPr>
    <w:rPr>
      <w:szCs w:val="24"/>
    </w:rPr>
  </w:style>
  <w:style w:type="paragraph" w:customStyle="1" w:styleId="SOPBulletA">
    <w:name w:val="SOP Bullet A"/>
    <w:basedOn w:val="Normal"/>
    <w:qFormat/>
    <w:rsid w:val="0059613B"/>
    <w:pPr>
      <w:numPr>
        <w:numId w:val="18"/>
      </w:numPr>
      <w:spacing w:before="60" w:after="60"/>
      <w:ind w:left="567" w:hanging="567"/>
    </w:pPr>
    <w:rPr>
      <w:szCs w:val="24"/>
    </w:rPr>
  </w:style>
  <w:style w:type="paragraph" w:customStyle="1" w:styleId="SOPBulletF">
    <w:name w:val="SOP Bullet F"/>
    <w:basedOn w:val="SOPBulletE"/>
    <w:qFormat/>
    <w:rsid w:val="0059613B"/>
    <w:pPr>
      <w:ind w:left="3402"/>
    </w:pPr>
  </w:style>
  <w:style w:type="paragraph" w:customStyle="1" w:styleId="SOPBulletG">
    <w:name w:val="SOP Bullet G"/>
    <w:basedOn w:val="SOPBulletF"/>
    <w:qFormat/>
    <w:rsid w:val="0059613B"/>
    <w:pPr>
      <w:ind w:left="3969"/>
    </w:pPr>
  </w:style>
  <w:style w:type="paragraph" w:customStyle="1" w:styleId="SOPBulletH">
    <w:name w:val="SOP Bullet H"/>
    <w:basedOn w:val="SOPBulletG"/>
    <w:qFormat/>
    <w:rsid w:val="0059613B"/>
    <w:pPr>
      <w:ind w:left="4536"/>
    </w:pPr>
  </w:style>
  <w:style w:type="paragraph" w:customStyle="1" w:styleId="SOPBulletI">
    <w:name w:val="SOP Bullet I"/>
    <w:basedOn w:val="SOPBulletH"/>
    <w:qFormat/>
    <w:rsid w:val="0059613B"/>
    <w:pPr>
      <w:ind w:left="5103"/>
    </w:pPr>
  </w:style>
  <w:style w:type="paragraph" w:customStyle="1" w:styleId="SOPBulletJ">
    <w:name w:val="SOP Bullet J"/>
    <w:basedOn w:val="SOPBulletI"/>
    <w:qFormat/>
    <w:rsid w:val="0059613B"/>
    <w:pPr>
      <w:ind w:left="5670"/>
    </w:pPr>
  </w:style>
  <w:style w:type="paragraph" w:customStyle="1" w:styleId="SOPBulletK">
    <w:name w:val="SOP Bullet K"/>
    <w:basedOn w:val="SOPBulletJ"/>
    <w:qFormat/>
    <w:rsid w:val="0059613B"/>
    <w:pPr>
      <w:ind w:left="6237"/>
    </w:pPr>
  </w:style>
  <w:style w:type="paragraph" w:styleId="Listenumros2">
    <w:name w:val="List Number 2"/>
    <w:basedOn w:val="Normal"/>
    <w:uiPriority w:val="99"/>
    <w:unhideWhenUsed/>
    <w:rsid w:val="00386EA4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unhideWhenUsed/>
    <w:rsid w:val="00381E3D"/>
    <w:pPr>
      <w:numPr>
        <w:numId w:val="11"/>
      </w:numPr>
      <w:contextualSpacing/>
    </w:pPr>
  </w:style>
  <w:style w:type="paragraph" w:styleId="Listenumros4">
    <w:name w:val="List Number 4"/>
    <w:basedOn w:val="Normal"/>
    <w:uiPriority w:val="99"/>
    <w:unhideWhenUsed/>
    <w:rsid w:val="00381E3D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unhideWhenUsed/>
    <w:rsid w:val="00381E3D"/>
    <w:pPr>
      <w:numPr>
        <w:numId w:val="9"/>
      </w:numPr>
      <w:contextualSpacing/>
    </w:pPr>
  </w:style>
  <w:style w:type="paragraph" w:styleId="Listecontinue">
    <w:name w:val="List Continue"/>
    <w:basedOn w:val="Normal"/>
    <w:uiPriority w:val="99"/>
    <w:unhideWhenUsed/>
    <w:rsid w:val="00381E3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unhideWhenUsed/>
    <w:rsid w:val="00381E3D"/>
    <w:pPr>
      <w:spacing w:after="120"/>
      <w:ind w:left="566"/>
      <w:contextualSpacing/>
    </w:pPr>
  </w:style>
  <w:style w:type="numbering" w:customStyle="1" w:styleId="SOPListeHyrarchise">
    <w:name w:val="SOP Liste Hyérarchisée"/>
    <w:uiPriority w:val="99"/>
    <w:rsid w:val="00381E3D"/>
    <w:pPr>
      <w:numPr>
        <w:numId w:val="20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5A11F5"/>
    <w:pPr>
      <w:tabs>
        <w:tab w:val="left" w:pos="284"/>
      </w:tabs>
      <w:spacing w:before="0" w:after="0"/>
      <w:ind w:left="284" w:hanging="284"/>
    </w:pPr>
    <w:rPr>
      <w:rFonts w:cs="Times New Roman (Corps CS)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A11F5"/>
    <w:rPr>
      <w:rFonts w:cs="Times New Roman (Corps CS)"/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5A11F5"/>
    <w:rPr>
      <w:vertAlign w:val="superscript"/>
    </w:rPr>
  </w:style>
  <w:style w:type="paragraph" w:styleId="Rvision">
    <w:name w:val="Revision"/>
    <w:hidden/>
    <w:uiPriority w:val="99"/>
    <w:semiHidden/>
    <w:rsid w:val="00EC34C7"/>
    <w:rPr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al\Documents\Mod&#232;les%20Office%20personnalis&#233;s\Canevas_SOP_EN_2019-04-01_clean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4C38C483B554087AF2DBD6B1FBEEB" ma:contentTypeVersion="18" ma:contentTypeDescription="Create a new document." ma:contentTypeScope="" ma:versionID="26db07379a4295c77fb37270b7241930">
  <xsd:schema xmlns:xsd="http://www.w3.org/2001/XMLSchema" xmlns:xs="http://www.w3.org/2001/XMLSchema" xmlns:p="http://schemas.microsoft.com/office/2006/metadata/properties" xmlns:ns2="0ba1c3e9-5c70-48ae-abf9-6cafc0353a2a" xmlns:ns3="0867f859-d9ca-420f-8ce6-44e8aa7b0b44" targetNamespace="http://schemas.microsoft.com/office/2006/metadata/properties" ma:root="true" ma:fieldsID="4a4fd7f6fe84ee316e1eb025445b5b3a" ns2:_="" ns3:_="">
    <xsd:import namespace="0ba1c3e9-5c70-48ae-abf9-6cafc0353a2a"/>
    <xsd:import namespace="0867f859-d9ca-420f-8ce6-44e8aa7b0b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1c3e9-5c70-48ae-abf9-6cafc0353a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6562d2-bc73-4ff4-bdb9-a759251cd76c}" ma:internalName="TaxCatchAll" ma:showField="CatchAllData" ma:web="0ba1c3e9-5c70-48ae-abf9-6cafc0353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f859-d9ca-420f-8ce6-44e8aa7b0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e91eb5-62e0-4b7b-b7a9-888583ac8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5FB7FA-E538-435C-90E4-BF749EE72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BBAFB-2A83-4444-8E18-BB844FF1D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1c3e9-5c70-48ae-abf9-6cafc0353a2a"/>
    <ds:schemaRef ds:uri="0867f859-d9ca-420f-8ce6-44e8aa7b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6B2DC-1EA0-47C4-8832-17C11CA5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Canevas_SOP_EN_2019-04-01_clean</Template>
  <TotalTime>7</TotalTime>
  <Pages>3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Fleurent</dc:creator>
  <cp:keywords/>
  <dc:description/>
  <cp:lastModifiedBy>Marilyse Piche</cp:lastModifiedBy>
  <cp:revision>6</cp:revision>
  <dcterms:created xsi:type="dcterms:W3CDTF">2023-11-17T19:31:00Z</dcterms:created>
  <dcterms:modified xsi:type="dcterms:W3CDTF">2023-11-21T20:45:00Z</dcterms:modified>
</cp:coreProperties>
</file>