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80290" w14:textId="77777777" w:rsidR="0030269A" w:rsidRPr="000B7C24" w:rsidRDefault="0030269A" w:rsidP="002341A4">
      <w:pPr>
        <w:spacing w:before="0" w:after="0"/>
        <w:rPr>
          <w:lang w:val="en-CA"/>
        </w:rPr>
      </w:pPr>
    </w:p>
    <w:tbl>
      <w:tblPr>
        <w:tblStyle w:val="Grilledutableau"/>
        <w:tblW w:w="0" w:type="auto"/>
        <w:tblLook w:val="04A0" w:firstRow="1" w:lastRow="0" w:firstColumn="1" w:lastColumn="0" w:noHBand="0" w:noVBand="1"/>
      </w:tblPr>
      <w:tblGrid>
        <w:gridCol w:w="3325"/>
        <w:gridCol w:w="6745"/>
      </w:tblGrid>
      <w:tr w:rsidR="0030269A" w:rsidRPr="000B7C24" w14:paraId="37E3F186" w14:textId="77777777" w:rsidTr="00012A3D">
        <w:tc>
          <w:tcPr>
            <w:tcW w:w="3325" w:type="dxa"/>
          </w:tcPr>
          <w:p w14:paraId="72174C6A" w14:textId="77777777" w:rsidR="0030269A" w:rsidRPr="000B7C24" w:rsidRDefault="0030269A" w:rsidP="002341A4">
            <w:pPr>
              <w:spacing w:before="60" w:after="60"/>
              <w:rPr>
                <w:b/>
                <w:lang w:val="en-CA"/>
              </w:rPr>
            </w:pPr>
            <w:r w:rsidRPr="000B7C24">
              <w:rPr>
                <w:b/>
                <w:lang w:val="en-CA"/>
              </w:rPr>
              <w:t>Title</w:t>
            </w:r>
          </w:p>
        </w:tc>
        <w:tc>
          <w:tcPr>
            <w:tcW w:w="6745" w:type="dxa"/>
          </w:tcPr>
          <w:p w14:paraId="02DB7353" w14:textId="77777777" w:rsidR="0030269A" w:rsidRPr="000B7C24" w:rsidRDefault="005B5452" w:rsidP="002341A4">
            <w:pPr>
              <w:spacing w:before="60" w:after="60"/>
              <w:rPr>
                <w:lang w:val="en-CA"/>
              </w:rPr>
            </w:pPr>
            <w:r w:rsidRPr="000B7C24">
              <w:rPr>
                <w:lang w:val="en-CA"/>
              </w:rPr>
              <w:t>Research Requiring REB Review</w:t>
            </w:r>
          </w:p>
        </w:tc>
      </w:tr>
      <w:tr w:rsidR="0030269A" w:rsidRPr="000B7C24" w14:paraId="1E80E3B3" w14:textId="77777777" w:rsidTr="00012A3D">
        <w:tc>
          <w:tcPr>
            <w:tcW w:w="3325" w:type="dxa"/>
          </w:tcPr>
          <w:p w14:paraId="3EB56844" w14:textId="77777777" w:rsidR="0030269A" w:rsidRPr="000B7C24" w:rsidRDefault="58B8826E" w:rsidP="002341A4">
            <w:pPr>
              <w:spacing w:before="60" w:after="60"/>
              <w:rPr>
                <w:b/>
                <w:bCs/>
                <w:lang w:val="en-CA"/>
              </w:rPr>
            </w:pPr>
            <w:r w:rsidRPr="000B7C24">
              <w:rPr>
                <w:b/>
                <w:bCs/>
                <w:lang w:val="en-CA"/>
              </w:rPr>
              <w:t>SOP Code</w:t>
            </w:r>
          </w:p>
        </w:tc>
        <w:tc>
          <w:tcPr>
            <w:tcW w:w="6745" w:type="dxa"/>
          </w:tcPr>
          <w:p w14:paraId="506DC73A" w14:textId="37840B88" w:rsidR="0030269A" w:rsidRPr="000B7C24" w:rsidRDefault="58B8826E" w:rsidP="002341A4">
            <w:pPr>
              <w:spacing w:before="60" w:after="60"/>
              <w:rPr>
                <w:lang w:val="en-CA"/>
              </w:rPr>
            </w:pPr>
            <w:r w:rsidRPr="000B7C24">
              <w:rPr>
                <w:lang w:val="en-CA"/>
              </w:rPr>
              <w:t>REB</w:t>
            </w:r>
            <w:r w:rsidR="00660163" w:rsidRPr="000B7C24">
              <w:rPr>
                <w:lang w:val="en-CA"/>
              </w:rPr>
              <w:t>-</w:t>
            </w:r>
            <w:r w:rsidRPr="000B7C24">
              <w:rPr>
                <w:lang w:val="en-CA"/>
              </w:rPr>
              <w:t>SOP</w:t>
            </w:r>
            <w:r w:rsidR="00012A3D" w:rsidRPr="000B7C24">
              <w:rPr>
                <w:lang w:val="en-CA"/>
              </w:rPr>
              <w:t xml:space="preserve"> </w:t>
            </w:r>
            <w:r w:rsidR="005B5452" w:rsidRPr="000B7C24">
              <w:rPr>
                <w:lang w:val="en-CA"/>
              </w:rPr>
              <w:t>102</w:t>
            </w:r>
            <w:r w:rsidR="00BA73E8" w:rsidRPr="000B7C24">
              <w:rPr>
                <w:lang w:val="en-CA"/>
              </w:rPr>
              <w:t>-002</w:t>
            </w:r>
          </w:p>
        </w:tc>
      </w:tr>
      <w:tr w:rsidR="0030269A" w:rsidRPr="000B7C24" w14:paraId="2FB41676" w14:textId="77777777" w:rsidTr="00012A3D">
        <w:tc>
          <w:tcPr>
            <w:tcW w:w="3325" w:type="dxa"/>
          </w:tcPr>
          <w:p w14:paraId="51AC0585" w14:textId="77777777" w:rsidR="0030269A" w:rsidRPr="000B7C24" w:rsidRDefault="0030269A" w:rsidP="002341A4">
            <w:pPr>
              <w:spacing w:before="60" w:after="60"/>
              <w:rPr>
                <w:b/>
                <w:lang w:val="en-CA"/>
              </w:rPr>
            </w:pPr>
            <w:r w:rsidRPr="000B7C24">
              <w:rPr>
                <w:b/>
                <w:lang w:val="en-CA"/>
              </w:rPr>
              <w:t>N2/CAREB SOP CODE</w:t>
            </w:r>
          </w:p>
        </w:tc>
        <w:tc>
          <w:tcPr>
            <w:tcW w:w="6745" w:type="dxa"/>
          </w:tcPr>
          <w:p w14:paraId="4F5CA1B2" w14:textId="5FBB4209" w:rsidR="0030269A" w:rsidRPr="000B7C24" w:rsidRDefault="0030269A" w:rsidP="002341A4">
            <w:pPr>
              <w:spacing w:before="60" w:after="60"/>
              <w:rPr>
                <w:lang w:val="en-CA"/>
              </w:rPr>
            </w:pPr>
            <w:r w:rsidRPr="000B7C24">
              <w:rPr>
                <w:lang w:val="en-CA"/>
              </w:rPr>
              <w:t>SOP</w:t>
            </w:r>
            <w:r w:rsidR="005A11F5" w:rsidRPr="000B7C24">
              <w:rPr>
                <w:lang w:val="en-CA"/>
              </w:rPr>
              <w:t xml:space="preserve"> </w:t>
            </w:r>
            <w:r w:rsidR="005B5452" w:rsidRPr="000B7C24">
              <w:rPr>
                <w:lang w:val="en-CA"/>
              </w:rPr>
              <w:t>102</w:t>
            </w:r>
            <w:r w:rsidR="00BA73E8" w:rsidRPr="000B7C24">
              <w:rPr>
                <w:lang w:val="en-CA"/>
              </w:rPr>
              <w:t>-003</w:t>
            </w:r>
          </w:p>
        </w:tc>
      </w:tr>
      <w:tr w:rsidR="0030269A" w:rsidRPr="000B7C24" w14:paraId="192C586C" w14:textId="77777777" w:rsidTr="00012A3D">
        <w:tc>
          <w:tcPr>
            <w:tcW w:w="3325" w:type="dxa"/>
          </w:tcPr>
          <w:p w14:paraId="2ACE7CD1" w14:textId="77777777" w:rsidR="0030269A" w:rsidRPr="000B7C24" w:rsidRDefault="0030269A" w:rsidP="002341A4">
            <w:pPr>
              <w:spacing w:before="60" w:after="60"/>
              <w:rPr>
                <w:b/>
                <w:lang w:val="en-CA"/>
              </w:rPr>
            </w:pPr>
            <w:r w:rsidRPr="000B7C24">
              <w:rPr>
                <w:b/>
                <w:lang w:val="en-CA"/>
              </w:rPr>
              <w:t>Effective Date</w:t>
            </w:r>
          </w:p>
        </w:tc>
        <w:tc>
          <w:tcPr>
            <w:tcW w:w="6745" w:type="dxa"/>
          </w:tcPr>
          <w:p w14:paraId="4E97307F" w14:textId="77777777" w:rsidR="0030269A" w:rsidRPr="000B7C24" w:rsidRDefault="0030269A" w:rsidP="002341A4">
            <w:pPr>
              <w:spacing w:before="60" w:after="60"/>
              <w:rPr>
                <w:lang w:val="en-CA"/>
              </w:rPr>
            </w:pPr>
            <w:r w:rsidRPr="000B7C24">
              <w:rPr>
                <w:highlight w:val="yellow"/>
                <w:lang w:val="en-CA"/>
              </w:rPr>
              <w:t>YYYY-MM-DD</w:t>
            </w:r>
          </w:p>
        </w:tc>
      </w:tr>
    </w:tbl>
    <w:p w14:paraId="5548EA5F" w14:textId="77777777" w:rsidR="0030269A" w:rsidRPr="000B7C24" w:rsidRDefault="0030269A" w:rsidP="002341A4">
      <w:pPr>
        <w:rPr>
          <w:lang w:val="en-CA"/>
        </w:rPr>
      </w:pPr>
    </w:p>
    <w:tbl>
      <w:tblPr>
        <w:tblStyle w:val="Grilledutableau"/>
        <w:tblW w:w="0" w:type="auto"/>
        <w:tblLook w:val="04A0" w:firstRow="1" w:lastRow="0" w:firstColumn="1" w:lastColumn="0" w:noHBand="0" w:noVBand="1"/>
      </w:tblPr>
      <w:tblGrid>
        <w:gridCol w:w="3325"/>
        <w:gridCol w:w="4467"/>
        <w:gridCol w:w="2206"/>
      </w:tblGrid>
      <w:tr w:rsidR="0030269A" w:rsidRPr="000B7C24" w14:paraId="3BDDEB68" w14:textId="77777777" w:rsidTr="00012A3D">
        <w:tc>
          <w:tcPr>
            <w:tcW w:w="3325" w:type="dxa"/>
            <w:shd w:val="clear" w:color="auto" w:fill="D9D9D9" w:themeFill="background1" w:themeFillShade="D9"/>
          </w:tcPr>
          <w:p w14:paraId="69540EC2" w14:textId="77777777" w:rsidR="0030269A" w:rsidRPr="000B7C24" w:rsidRDefault="0030269A" w:rsidP="002341A4">
            <w:pPr>
              <w:spacing w:before="60" w:after="60"/>
              <w:jc w:val="center"/>
              <w:rPr>
                <w:b/>
                <w:lang w:val="en-CA"/>
              </w:rPr>
            </w:pPr>
            <w:r w:rsidRPr="000B7C24">
              <w:rPr>
                <w:b/>
                <w:lang w:val="en-CA"/>
              </w:rPr>
              <w:t>Status</w:t>
            </w:r>
          </w:p>
        </w:tc>
        <w:tc>
          <w:tcPr>
            <w:tcW w:w="4467" w:type="dxa"/>
            <w:shd w:val="clear" w:color="auto" w:fill="D9D9D9" w:themeFill="background1" w:themeFillShade="D9"/>
          </w:tcPr>
          <w:p w14:paraId="58C716EB" w14:textId="77777777" w:rsidR="0030269A" w:rsidRPr="000B7C24" w:rsidRDefault="0030269A" w:rsidP="002341A4">
            <w:pPr>
              <w:spacing w:before="60" w:after="60"/>
              <w:jc w:val="center"/>
              <w:rPr>
                <w:b/>
                <w:lang w:val="en-CA"/>
              </w:rPr>
            </w:pPr>
            <w:r w:rsidRPr="000B7C24">
              <w:rPr>
                <w:b/>
                <w:lang w:val="en-CA"/>
              </w:rPr>
              <w:t>Name and Title</w:t>
            </w:r>
          </w:p>
        </w:tc>
        <w:tc>
          <w:tcPr>
            <w:tcW w:w="2206" w:type="dxa"/>
            <w:shd w:val="clear" w:color="auto" w:fill="D9D9D9" w:themeFill="background1" w:themeFillShade="D9"/>
          </w:tcPr>
          <w:p w14:paraId="68C72B88" w14:textId="77777777" w:rsidR="0030269A" w:rsidRPr="000B7C24" w:rsidRDefault="0030269A" w:rsidP="002341A4">
            <w:pPr>
              <w:spacing w:before="60" w:after="60"/>
              <w:jc w:val="center"/>
              <w:rPr>
                <w:b/>
                <w:lang w:val="en-CA"/>
              </w:rPr>
            </w:pPr>
            <w:r w:rsidRPr="000B7C24">
              <w:rPr>
                <w:b/>
                <w:lang w:val="en-CA"/>
              </w:rPr>
              <w:t>Date</w:t>
            </w:r>
          </w:p>
        </w:tc>
      </w:tr>
      <w:tr w:rsidR="00BA73E8" w:rsidRPr="000B7C24" w14:paraId="00837CA3" w14:textId="77777777" w:rsidTr="00012A3D">
        <w:tc>
          <w:tcPr>
            <w:tcW w:w="3325" w:type="dxa"/>
          </w:tcPr>
          <w:p w14:paraId="4B9CB6F1" w14:textId="77777777" w:rsidR="00BA73E8" w:rsidRPr="000B7C24" w:rsidRDefault="00BA73E8" w:rsidP="00BA73E8">
            <w:pPr>
              <w:spacing w:before="60" w:after="60"/>
              <w:jc w:val="left"/>
              <w:rPr>
                <w:b/>
                <w:i/>
                <w:highlight w:val="yellow"/>
                <w:lang w:val="en-CA"/>
              </w:rPr>
            </w:pPr>
            <w:r w:rsidRPr="000B7C24">
              <w:rPr>
                <w:b/>
                <w:i/>
                <w:lang w:val="en-CA"/>
              </w:rPr>
              <w:t>Author of Harmonized Template</w:t>
            </w:r>
          </w:p>
        </w:tc>
        <w:tc>
          <w:tcPr>
            <w:tcW w:w="4467" w:type="dxa"/>
          </w:tcPr>
          <w:p w14:paraId="5623244D" w14:textId="2DE1471C" w:rsidR="00BA73E8" w:rsidRPr="000B7C24" w:rsidRDefault="00BA73E8" w:rsidP="00BA73E8">
            <w:pPr>
              <w:spacing w:before="60" w:after="60"/>
              <w:rPr>
                <w:lang w:val="en-CA"/>
              </w:rPr>
            </w:pPr>
            <w:r w:rsidRPr="000B7C24">
              <w:rPr>
                <w:lang w:val="en-CA"/>
              </w:rPr>
              <w:t>REB</w:t>
            </w:r>
            <w:r w:rsidR="00D1257C" w:rsidRPr="000B7C24">
              <w:rPr>
                <w:lang w:val="en-CA"/>
              </w:rPr>
              <w:t xml:space="preserve"> </w:t>
            </w:r>
            <w:r w:rsidRPr="000B7C24">
              <w:rPr>
                <w:lang w:val="en-CA"/>
              </w:rPr>
              <w:t>SOPs developed by CATALIS Network</w:t>
            </w:r>
          </w:p>
        </w:tc>
        <w:tc>
          <w:tcPr>
            <w:tcW w:w="2206" w:type="dxa"/>
          </w:tcPr>
          <w:p w14:paraId="1D347544" w14:textId="3671CFF8" w:rsidR="00BA73E8" w:rsidRPr="000B7C24" w:rsidRDefault="00BA73E8" w:rsidP="00BA73E8">
            <w:pPr>
              <w:spacing w:before="60" w:after="60"/>
              <w:jc w:val="center"/>
              <w:rPr>
                <w:lang w:val="en-CA"/>
              </w:rPr>
            </w:pPr>
            <w:r w:rsidRPr="000B7C24">
              <w:rPr>
                <w:lang w:val="en-CA"/>
              </w:rPr>
              <w:t>2023-05-01</w:t>
            </w:r>
          </w:p>
        </w:tc>
      </w:tr>
      <w:tr w:rsidR="005A11F5" w:rsidRPr="000B7C24" w14:paraId="126E8A1D" w14:textId="77777777" w:rsidTr="00012A3D">
        <w:tc>
          <w:tcPr>
            <w:tcW w:w="3325" w:type="dxa"/>
          </w:tcPr>
          <w:p w14:paraId="4F511EE7" w14:textId="77777777" w:rsidR="005A11F5" w:rsidRPr="000B7C24" w:rsidRDefault="005A11F5" w:rsidP="002341A4">
            <w:pPr>
              <w:spacing w:before="60" w:after="60"/>
              <w:rPr>
                <w:b/>
                <w:i/>
                <w:highlight w:val="yellow"/>
                <w:lang w:val="en-CA"/>
              </w:rPr>
            </w:pPr>
            <w:r w:rsidRPr="000B7C24">
              <w:rPr>
                <w:b/>
                <w:i/>
                <w:lang w:val="en-CA"/>
              </w:rPr>
              <w:t>Approved</w:t>
            </w:r>
          </w:p>
        </w:tc>
        <w:tc>
          <w:tcPr>
            <w:tcW w:w="4467" w:type="dxa"/>
          </w:tcPr>
          <w:p w14:paraId="761B6BC4" w14:textId="34FFB3E6" w:rsidR="005A11F5" w:rsidRPr="000B7C24" w:rsidRDefault="008F4B93" w:rsidP="002341A4">
            <w:pPr>
              <w:spacing w:before="60" w:after="60"/>
              <w:rPr>
                <w:lang w:val="en-CA"/>
              </w:rPr>
            </w:pPr>
            <w:r w:rsidRPr="000B7C24">
              <w:rPr>
                <w:lang w:val="en-CA"/>
              </w:rPr>
              <w:t>REB Full Board Meeting</w:t>
            </w:r>
            <w:r w:rsidR="00BA73E8" w:rsidRPr="000B7C24">
              <w:rPr>
                <w:lang w:val="en-CA"/>
              </w:rPr>
              <w:t>,</w:t>
            </w:r>
            <w:r w:rsidRPr="000B7C24">
              <w:rPr>
                <w:lang w:val="en-CA"/>
              </w:rPr>
              <w:t xml:space="preserve"> XXX</w:t>
            </w:r>
          </w:p>
        </w:tc>
        <w:tc>
          <w:tcPr>
            <w:tcW w:w="2206" w:type="dxa"/>
          </w:tcPr>
          <w:p w14:paraId="1502406E" w14:textId="77777777" w:rsidR="005A11F5" w:rsidRPr="000B7C24" w:rsidRDefault="005A11F5" w:rsidP="002341A4">
            <w:pPr>
              <w:spacing w:before="60" w:after="60"/>
              <w:jc w:val="center"/>
              <w:rPr>
                <w:lang w:val="en-CA"/>
              </w:rPr>
            </w:pPr>
            <w:r w:rsidRPr="000B7C24">
              <w:rPr>
                <w:lang w:val="en-CA"/>
              </w:rPr>
              <w:t>YYYY-MM-DD</w:t>
            </w:r>
          </w:p>
        </w:tc>
      </w:tr>
      <w:tr w:rsidR="005A11F5" w:rsidRPr="000B7C24" w14:paraId="78FED87F" w14:textId="77777777" w:rsidTr="00012A3D">
        <w:tc>
          <w:tcPr>
            <w:tcW w:w="3325" w:type="dxa"/>
          </w:tcPr>
          <w:p w14:paraId="35B53F52" w14:textId="035AFC24" w:rsidR="005A11F5" w:rsidRPr="000B7C24" w:rsidRDefault="00BA73E8" w:rsidP="002341A4">
            <w:pPr>
              <w:spacing w:before="60" w:after="60"/>
              <w:rPr>
                <w:b/>
                <w:i/>
                <w:highlight w:val="yellow"/>
                <w:lang w:val="en-CA"/>
              </w:rPr>
            </w:pPr>
            <w:r w:rsidRPr="000B7C24">
              <w:rPr>
                <w:b/>
                <w:i/>
                <w:lang w:val="en-CA"/>
              </w:rPr>
              <w:t>[Approved] or [</w:t>
            </w:r>
            <w:r w:rsidR="005A11F5" w:rsidRPr="000B7C24">
              <w:rPr>
                <w:b/>
                <w:i/>
                <w:lang w:val="en-CA"/>
              </w:rPr>
              <w:t>Acknowledge receipt</w:t>
            </w:r>
            <w:r w:rsidRPr="000B7C24">
              <w:rPr>
                <w:b/>
                <w:i/>
                <w:lang w:val="en-CA"/>
              </w:rPr>
              <w:t>]</w:t>
            </w:r>
          </w:p>
        </w:tc>
        <w:tc>
          <w:tcPr>
            <w:tcW w:w="4467" w:type="dxa"/>
          </w:tcPr>
          <w:p w14:paraId="054AFCE4" w14:textId="1CAAD7F1" w:rsidR="005A11F5" w:rsidRPr="000B7C24" w:rsidRDefault="00E428CC" w:rsidP="002341A4">
            <w:pPr>
              <w:spacing w:before="60" w:after="60"/>
              <w:rPr>
                <w:lang w:val="en-CA"/>
              </w:rPr>
            </w:pPr>
            <w:r w:rsidRPr="000B7C24">
              <w:rPr>
                <w:lang w:val="en-CA"/>
              </w:rPr>
              <w:t>CA</w:t>
            </w:r>
            <w:r w:rsidR="00BA73E8" w:rsidRPr="000B7C24">
              <w:rPr>
                <w:lang w:val="en-CA"/>
              </w:rPr>
              <w:t>,</w:t>
            </w:r>
            <w:r w:rsidRPr="000B7C24">
              <w:rPr>
                <w:lang w:val="en-CA"/>
              </w:rPr>
              <w:t xml:space="preserve"> </w:t>
            </w:r>
            <w:r w:rsidR="005A11F5" w:rsidRPr="000B7C24">
              <w:rPr>
                <w:lang w:val="en-CA"/>
              </w:rPr>
              <w:t>XXX</w:t>
            </w:r>
          </w:p>
        </w:tc>
        <w:tc>
          <w:tcPr>
            <w:tcW w:w="2206" w:type="dxa"/>
          </w:tcPr>
          <w:p w14:paraId="28D470F9" w14:textId="77777777" w:rsidR="005A11F5" w:rsidRPr="000B7C24" w:rsidRDefault="005A11F5" w:rsidP="002341A4">
            <w:pPr>
              <w:spacing w:before="60" w:after="60"/>
              <w:jc w:val="center"/>
              <w:rPr>
                <w:lang w:val="en-CA"/>
              </w:rPr>
            </w:pPr>
            <w:r w:rsidRPr="000B7C24">
              <w:rPr>
                <w:lang w:val="en-CA"/>
              </w:rPr>
              <w:t>YYYY-MM-DD</w:t>
            </w:r>
          </w:p>
        </w:tc>
      </w:tr>
    </w:tbl>
    <w:p w14:paraId="63C46A62" w14:textId="77777777" w:rsidR="002E18ED" w:rsidRPr="000B7C24" w:rsidRDefault="002E18ED" w:rsidP="002341A4">
      <w:pPr>
        <w:rPr>
          <w:b/>
          <w:lang w:val="en-CA"/>
        </w:rPr>
      </w:pPr>
    </w:p>
    <w:p w14:paraId="01322153" w14:textId="77777777" w:rsidR="0030269A" w:rsidRPr="000B7C24" w:rsidRDefault="0030269A" w:rsidP="002341A4">
      <w:pPr>
        <w:rPr>
          <w:b/>
          <w:lang w:val="en-CA"/>
        </w:rPr>
      </w:pPr>
      <w:r w:rsidRPr="000B7C24">
        <w:rPr>
          <w:b/>
          <w:lang w:val="en-CA"/>
        </w:rPr>
        <w:t>Table of Content</w:t>
      </w:r>
    </w:p>
    <w:p w14:paraId="39BC67BA" w14:textId="57889D21" w:rsidR="008C756B" w:rsidRDefault="0030269A">
      <w:pPr>
        <w:pStyle w:val="TM1"/>
        <w:rPr>
          <w:kern w:val="2"/>
          <w:sz w:val="22"/>
          <w:szCs w:val="22"/>
          <w:lang w:eastAsia="fr-CA"/>
          <w14:ligatures w14:val="standardContextual"/>
        </w:rPr>
      </w:pPr>
      <w:r w:rsidRPr="000B7C24">
        <w:rPr>
          <w:noProof w:val="0"/>
          <w:lang w:val="en-CA"/>
        </w:rPr>
        <w:fldChar w:fldCharType="begin"/>
      </w:r>
      <w:r w:rsidRPr="000B7C24">
        <w:rPr>
          <w:noProof w:val="0"/>
          <w:lang w:val="en-CA"/>
        </w:rPr>
        <w:instrText xml:space="preserve"> TOC \o "1-2" \u </w:instrText>
      </w:r>
      <w:r w:rsidRPr="000B7C24">
        <w:rPr>
          <w:noProof w:val="0"/>
          <w:lang w:val="en-CA"/>
        </w:rPr>
        <w:fldChar w:fldCharType="separate"/>
      </w:r>
      <w:r w:rsidR="008C756B">
        <w:t>1</w:t>
      </w:r>
      <w:r w:rsidR="008C756B">
        <w:rPr>
          <w:kern w:val="2"/>
          <w:sz w:val="22"/>
          <w:szCs w:val="22"/>
          <w:lang w:eastAsia="fr-CA"/>
          <w14:ligatures w14:val="standardContextual"/>
        </w:rPr>
        <w:tab/>
      </w:r>
      <w:r w:rsidR="008C756B">
        <w:t>Purpose</w:t>
      </w:r>
      <w:r w:rsidR="008C756B">
        <w:tab/>
      </w:r>
      <w:r w:rsidR="008C756B">
        <w:fldChar w:fldCharType="begin"/>
      </w:r>
      <w:r w:rsidR="008C756B">
        <w:instrText xml:space="preserve"> PAGEREF _Toc151380418 \h </w:instrText>
      </w:r>
      <w:r w:rsidR="008C756B">
        <w:fldChar w:fldCharType="separate"/>
      </w:r>
      <w:r w:rsidR="008C756B">
        <w:t>1</w:t>
      </w:r>
      <w:r w:rsidR="008C756B">
        <w:fldChar w:fldCharType="end"/>
      </w:r>
    </w:p>
    <w:p w14:paraId="0BE41820" w14:textId="6B80A8E7" w:rsidR="008C756B" w:rsidRDefault="008C756B">
      <w:pPr>
        <w:pStyle w:val="TM1"/>
        <w:rPr>
          <w:kern w:val="2"/>
          <w:sz w:val="22"/>
          <w:szCs w:val="22"/>
          <w:lang w:eastAsia="fr-CA"/>
          <w14:ligatures w14:val="standardContextual"/>
        </w:rPr>
      </w:pPr>
      <w:r>
        <w:t>2</w:t>
      </w:r>
      <w:r>
        <w:rPr>
          <w:kern w:val="2"/>
          <w:sz w:val="22"/>
          <w:szCs w:val="22"/>
          <w:lang w:eastAsia="fr-CA"/>
          <w14:ligatures w14:val="standardContextual"/>
        </w:rPr>
        <w:tab/>
      </w:r>
      <w:r>
        <w:t>Scope</w:t>
      </w:r>
      <w:r>
        <w:tab/>
      </w:r>
      <w:r>
        <w:fldChar w:fldCharType="begin"/>
      </w:r>
      <w:r>
        <w:instrText xml:space="preserve"> PAGEREF _Toc151380419 \h </w:instrText>
      </w:r>
      <w:r>
        <w:fldChar w:fldCharType="separate"/>
      </w:r>
      <w:r>
        <w:t>2</w:t>
      </w:r>
      <w:r>
        <w:fldChar w:fldCharType="end"/>
      </w:r>
    </w:p>
    <w:p w14:paraId="487E3707" w14:textId="348214F8" w:rsidR="008C756B" w:rsidRDefault="008C756B">
      <w:pPr>
        <w:pStyle w:val="TM1"/>
        <w:rPr>
          <w:kern w:val="2"/>
          <w:sz w:val="22"/>
          <w:szCs w:val="22"/>
          <w:lang w:eastAsia="fr-CA"/>
          <w14:ligatures w14:val="standardContextual"/>
        </w:rPr>
      </w:pPr>
      <w:r>
        <w:t>3</w:t>
      </w:r>
      <w:r>
        <w:rPr>
          <w:kern w:val="2"/>
          <w:sz w:val="22"/>
          <w:szCs w:val="22"/>
          <w:lang w:eastAsia="fr-CA"/>
          <w14:ligatures w14:val="standardContextual"/>
        </w:rPr>
        <w:tab/>
      </w:r>
      <w:r>
        <w:t>Responsibilities</w:t>
      </w:r>
      <w:r>
        <w:tab/>
      </w:r>
      <w:r>
        <w:fldChar w:fldCharType="begin"/>
      </w:r>
      <w:r>
        <w:instrText xml:space="preserve"> PAGEREF _Toc151380420 \h </w:instrText>
      </w:r>
      <w:r>
        <w:fldChar w:fldCharType="separate"/>
      </w:r>
      <w:r>
        <w:t>2</w:t>
      </w:r>
      <w:r>
        <w:fldChar w:fldCharType="end"/>
      </w:r>
    </w:p>
    <w:p w14:paraId="2D11D23F" w14:textId="47A3C74F" w:rsidR="008C756B" w:rsidRDefault="008C756B">
      <w:pPr>
        <w:pStyle w:val="TM1"/>
        <w:rPr>
          <w:kern w:val="2"/>
          <w:sz w:val="22"/>
          <w:szCs w:val="22"/>
          <w:lang w:eastAsia="fr-CA"/>
          <w14:ligatures w14:val="standardContextual"/>
        </w:rPr>
      </w:pPr>
      <w:r>
        <w:t>4</w:t>
      </w:r>
      <w:r>
        <w:rPr>
          <w:kern w:val="2"/>
          <w:sz w:val="22"/>
          <w:szCs w:val="22"/>
          <w:lang w:eastAsia="fr-CA"/>
          <w14:ligatures w14:val="standardContextual"/>
        </w:rPr>
        <w:tab/>
      </w:r>
      <w:r>
        <w:t>Definitions</w:t>
      </w:r>
      <w:r>
        <w:tab/>
      </w:r>
      <w:r>
        <w:fldChar w:fldCharType="begin"/>
      </w:r>
      <w:r>
        <w:instrText xml:space="preserve"> PAGEREF _Toc151380421 \h </w:instrText>
      </w:r>
      <w:r>
        <w:fldChar w:fldCharType="separate"/>
      </w:r>
      <w:r>
        <w:t>2</w:t>
      </w:r>
      <w:r>
        <w:fldChar w:fldCharType="end"/>
      </w:r>
    </w:p>
    <w:p w14:paraId="1FBB9866" w14:textId="0050512C" w:rsidR="008C756B" w:rsidRDefault="008C756B">
      <w:pPr>
        <w:pStyle w:val="TM1"/>
        <w:rPr>
          <w:kern w:val="2"/>
          <w:sz w:val="22"/>
          <w:szCs w:val="22"/>
          <w:lang w:eastAsia="fr-CA"/>
          <w14:ligatures w14:val="standardContextual"/>
        </w:rPr>
      </w:pPr>
      <w:r>
        <w:t>5</w:t>
      </w:r>
      <w:r>
        <w:rPr>
          <w:kern w:val="2"/>
          <w:sz w:val="22"/>
          <w:szCs w:val="22"/>
          <w:lang w:eastAsia="fr-CA"/>
          <w14:ligatures w14:val="standardContextual"/>
        </w:rPr>
        <w:tab/>
      </w:r>
      <w:r>
        <w:t>Procedures</w:t>
      </w:r>
      <w:r>
        <w:tab/>
      </w:r>
      <w:r>
        <w:fldChar w:fldCharType="begin"/>
      </w:r>
      <w:r>
        <w:instrText xml:space="preserve"> PAGEREF _Toc151380422 \h </w:instrText>
      </w:r>
      <w:r>
        <w:fldChar w:fldCharType="separate"/>
      </w:r>
      <w:r>
        <w:t>2</w:t>
      </w:r>
      <w:r>
        <w:fldChar w:fldCharType="end"/>
      </w:r>
    </w:p>
    <w:p w14:paraId="7AD24EE7" w14:textId="118B46FB" w:rsidR="008C756B" w:rsidRDefault="008C756B">
      <w:pPr>
        <w:pStyle w:val="TM2"/>
        <w:rPr>
          <w:kern w:val="2"/>
          <w:sz w:val="22"/>
          <w:szCs w:val="22"/>
          <w:lang w:eastAsia="fr-CA"/>
          <w14:ligatures w14:val="standardContextual"/>
        </w:rPr>
      </w:pPr>
      <w:r>
        <w:t>5.1</w:t>
      </w:r>
      <w:r>
        <w:rPr>
          <w:kern w:val="2"/>
          <w:sz w:val="22"/>
          <w:szCs w:val="22"/>
          <w:lang w:eastAsia="fr-CA"/>
          <w14:ligatures w14:val="standardContextual"/>
        </w:rPr>
        <w:tab/>
      </w:r>
      <w:r>
        <w:t>Research that Requires REB Review</w:t>
      </w:r>
      <w:r>
        <w:tab/>
      </w:r>
      <w:r>
        <w:fldChar w:fldCharType="begin"/>
      </w:r>
      <w:r>
        <w:instrText xml:space="preserve"> PAGEREF _Toc151380423 \h </w:instrText>
      </w:r>
      <w:r>
        <w:fldChar w:fldCharType="separate"/>
      </w:r>
      <w:r>
        <w:t>2</w:t>
      </w:r>
      <w:r>
        <w:fldChar w:fldCharType="end"/>
      </w:r>
    </w:p>
    <w:p w14:paraId="7129E98D" w14:textId="057263EC" w:rsidR="008C756B" w:rsidRDefault="008C756B">
      <w:pPr>
        <w:pStyle w:val="TM2"/>
        <w:rPr>
          <w:kern w:val="2"/>
          <w:sz w:val="22"/>
          <w:szCs w:val="22"/>
          <w:lang w:eastAsia="fr-CA"/>
          <w14:ligatures w14:val="standardContextual"/>
        </w:rPr>
      </w:pPr>
      <w:r>
        <w:t>5.2</w:t>
      </w:r>
      <w:r>
        <w:rPr>
          <w:kern w:val="2"/>
          <w:sz w:val="22"/>
          <w:szCs w:val="22"/>
          <w:lang w:eastAsia="fr-CA"/>
          <w14:ligatures w14:val="standardContextual"/>
        </w:rPr>
        <w:tab/>
      </w:r>
      <w:r>
        <w:t>Research Exempt from REB Review</w:t>
      </w:r>
      <w:r>
        <w:tab/>
      </w:r>
      <w:r>
        <w:fldChar w:fldCharType="begin"/>
      </w:r>
      <w:r>
        <w:instrText xml:space="preserve"> PAGEREF _Toc151380424 \h </w:instrText>
      </w:r>
      <w:r>
        <w:fldChar w:fldCharType="separate"/>
      </w:r>
      <w:r>
        <w:t>2</w:t>
      </w:r>
      <w:r>
        <w:fldChar w:fldCharType="end"/>
      </w:r>
    </w:p>
    <w:p w14:paraId="6FF1CD51" w14:textId="102D0CF4" w:rsidR="008C756B" w:rsidRDefault="008C756B">
      <w:pPr>
        <w:pStyle w:val="TM2"/>
        <w:rPr>
          <w:kern w:val="2"/>
          <w:sz w:val="22"/>
          <w:szCs w:val="22"/>
          <w:lang w:eastAsia="fr-CA"/>
          <w14:ligatures w14:val="standardContextual"/>
        </w:rPr>
      </w:pPr>
      <w:r>
        <w:t>5.3</w:t>
      </w:r>
      <w:r>
        <w:rPr>
          <w:kern w:val="2"/>
          <w:sz w:val="22"/>
          <w:szCs w:val="22"/>
          <w:lang w:eastAsia="fr-CA"/>
          <w14:ligatures w14:val="standardContextual"/>
        </w:rPr>
        <w:tab/>
      </w:r>
      <w:r>
        <w:t>Activities Not Requiring REB Review</w:t>
      </w:r>
      <w:r>
        <w:tab/>
      </w:r>
      <w:r>
        <w:fldChar w:fldCharType="begin"/>
      </w:r>
      <w:r>
        <w:instrText xml:space="preserve"> PAGEREF _Toc151380425 \h </w:instrText>
      </w:r>
      <w:r>
        <w:fldChar w:fldCharType="separate"/>
      </w:r>
      <w:r>
        <w:t>4</w:t>
      </w:r>
      <w:r>
        <w:fldChar w:fldCharType="end"/>
      </w:r>
    </w:p>
    <w:p w14:paraId="2A5E8973" w14:textId="322373BE" w:rsidR="008C756B" w:rsidRDefault="008C756B">
      <w:pPr>
        <w:pStyle w:val="TM1"/>
        <w:rPr>
          <w:kern w:val="2"/>
          <w:sz w:val="22"/>
          <w:szCs w:val="22"/>
          <w:lang w:eastAsia="fr-CA"/>
          <w14:ligatures w14:val="standardContextual"/>
        </w:rPr>
      </w:pPr>
      <w:r>
        <w:t>6</w:t>
      </w:r>
      <w:r>
        <w:rPr>
          <w:kern w:val="2"/>
          <w:sz w:val="22"/>
          <w:szCs w:val="22"/>
          <w:lang w:eastAsia="fr-CA"/>
          <w14:ligatures w14:val="standardContextual"/>
        </w:rPr>
        <w:tab/>
      </w:r>
      <w:r>
        <w:t>References</w:t>
      </w:r>
      <w:r>
        <w:tab/>
      </w:r>
      <w:r>
        <w:fldChar w:fldCharType="begin"/>
      </w:r>
      <w:r>
        <w:instrText xml:space="preserve"> PAGEREF _Toc151380426 \h </w:instrText>
      </w:r>
      <w:r>
        <w:fldChar w:fldCharType="separate"/>
      </w:r>
      <w:r>
        <w:t>4</w:t>
      </w:r>
      <w:r>
        <w:fldChar w:fldCharType="end"/>
      </w:r>
    </w:p>
    <w:p w14:paraId="07CBBF59" w14:textId="27BD15E7" w:rsidR="008C756B" w:rsidRDefault="008C756B">
      <w:pPr>
        <w:pStyle w:val="TM1"/>
        <w:rPr>
          <w:kern w:val="2"/>
          <w:sz w:val="22"/>
          <w:szCs w:val="22"/>
          <w:lang w:eastAsia="fr-CA"/>
          <w14:ligatures w14:val="standardContextual"/>
        </w:rPr>
      </w:pPr>
      <w:r>
        <w:t>7</w:t>
      </w:r>
      <w:r>
        <w:rPr>
          <w:kern w:val="2"/>
          <w:sz w:val="22"/>
          <w:szCs w:val="22"/>
          <w:lang w:eastAsia="fr-CA"/>
          <w14:ligatures w14:val="standardContextual"/>
        </w:rPr>
        <w:tab/>
      </w:r>
      <w:r>
        <w:t>Revision History</w:t>
      </w:r>
      <w:r>
        <w:tab/>
      </w:r>
      <w:r>
        <w:fldChar w:fldCharType="begin"/>
      </w:r>
      <w:r>
        <w:instrText xml:space="preserve"> PAGEREF _Toc151380427 \h </w:instrText>
      </w:r>
      <w:r>
        <w:fldChar w:fldCharType="separate"/>
      </w:r>
      <w:r>
        <w:t>4</w:t>
      </w:r>
      <w:r>
        <w:fldChar w:fldCharType="end"/>
      </w:r>
    </w:p>
    <w:p w14:paraId="2E786025" w14:textId="4B3ED580" w:rsidR="008C756B" w:rsidRDefault="008C756B">
      <w:pPr>
        <w:pStyle w:val="TM1"/>
        <w:rPr>
          <w:kern w:val="2"/>
          <w:sz w:val="22"/>
          <w:szCs w:val="22"/>
          <w:lang w:eastAsia="fr-CA"/>
          <w14:ligatures w14:val="standardContextual"/>
        </w:rPr>
      </w:pPr>
      <w:r>
        <w:t>8</w:t>
      </w:r>
      <w:r>
        <w:rPr>
          <w:kern w:val="2"/>
          <w:sz w:val="22"/>
          <w:szCs w:val="22"/>
          <w:lang w:eastAsia="fr-CA"/>
          <w14:ligatures w14:val="standardContextual"/>
        </w:rPr>
        <w:tab/>
      </w:r>
      <w:r>
        <w:t>Appendices</w:t>
      </w:r>
      <w:r>
        <w:tab/>
      </w:r>
      <w:r>
        <w:fldChar w:fldCharType="begin"/>
      </w:r>
      <w:r>
        <w:instrText xml:space="preserve"> PAGEREF _Toc151380428 \h </w:instrText>
      </w:r>
      <w:r>
        <w:fldChar w:fldCharType="separate"/>
      </w:r>
      <w:r>
        <w:t>4</w:t>
      </w:r>
      <w:r>
        <w:fldChar w:fldCharType="end"/>
      </w:r>
    </w:p>
    <w:p w14:paraId="46A90FEB" w14:textId="5B0D48BA" w:rsidR="002B5BA5" w:rsidRPr="000B7C24" w:rsidRDefault="0030269A" w:rsidP="002341A4">
      <w:pPr>
        <w:rPr>
          <w:lang w:val="en-CA"/>
        </w:rPr>
      </w:pPr>
      <w:r w:rsidRPr="000B7C24">
        <w:rPr>
          <w:rFonts w:eastAsiaTheme="minorEastAsia" w:cstheme="minorHAnsi"/>
          <w:lang w:val="en-CA" w:eastAsia="fr-FR"/>
        </w:rPr>
        <w:fldChar w:fldCharType="end"/>
      </w:r>
    </w:p>
    <w:p w14:paraId="5ED48602" w14:textId="77777777" w:rsidR="00B66BD6" w:rsidRPr="000B7C24" w:rsidRDefault="00756C58" w:rsidP="002341A4">
      <w:pPr>
        <w:pStyle w:val="Titre1"/>
        <w:widowControl/>
      </w:pPr>
      <w:bookmarkStart w:id="0" w:name="_Toc151380418"/>
      <w:r w:rsidRPr="000B7C24">
        <w:t>Purpose</w:t>
      </w:r>
      <w:bookmarkEnd w:id="0"/>
    </w:p>
    <w:p w14:paraId="1A25DA30" w14:textId="77777777" w:rsidR="002E18ED" w:rsidRPr="000B7C24" w:rsidRDefault="00AA68E4" w:rsidP="002341A4">
      <w:pPr>
        <w:rPr>
          <w:lang w:val="en-CA"/>
        </w:rPr>
      </w:pPr>
      <w:r w:rsidRPr="000B7C24">
        <w:rPr>
          <w:lang w:val="en-CA"/>
        </w:rPr>
        <w:t>The purpose of this standard operating procedure (SOP) is to describe research activities that require Research Ethics Board (REB) review and research activities that do not.</w:t>
      </w:r>
    </w:p>
    <w:p w14:paraId="393026A6" w14:textId="77777777" w:rsidR="00756C58" w:rsidRPr="000B7C24" w:rsidRDefault="00756C58" w:rsidP="002341A4">
      <w:pPr>
        <w:pStyle w:val="Titre1"/>
        <w:widowControl/>
      </w:pPr>
      <w:bookmarkStart w:id="1" w:name="_Toc151380419"/>
      <w:r w:rsidRPr="000B7C24">
        <w:lastRenderedPageBreak/>
        <w:t>Scope</w:t>
      </w:r>
      <w:bookmarkEnd w:id="1"/>
    </w:p>
    <w:p w14:paraId="07478586" w14:textId="77777777" w:rsidR="002E18ED" w:rsidRPr="000B7C24" w:rsidRDefault="00AA68E4" w:rsidP="002341A4">
      <w:pPr>
        <w:rPr>
          <w:lang w:val="en-CA"/>
        </w:rPr>
      </w:pPr>
      <w:r w:rsidRPr="000B7C24">
        <w:rPr>
          <w:lang w:val="en-CA"/>
        </w:rPr>
        <w:t>This SOP pertains to REBs that review human participant research in compliance with applicable regulations and guidelines.</w:t>
      </w:r>
    </w:p>
    <w:p w14:paraId="5DDA29A3" w14:textId="77777777" w:rsidR="00756C58" w:rsidRPr="000B7C24" w:rsidRDefault="002E18ED" w:rsidP="002341A4">
      <w:pPr>
        <w:pStyle w:val="Titre1"/>
        <w:widowControl/>
      </w:pPr>
      <w:bookmarkStart w:id="2" w:name="_Toc151380420"/>
      <w:r w:rsidRPr="000B7C24">
        <w:t>R</w:t>
      </w:r>
      <w:r w:rsidR="00756C58" w:rsidRPr="000B7C24">
        <w:t>esponsibilities</w:t>
      </w:r>
      <w:bookmarkEnd w:id="2"/>
    </w:p>
    <w:p w14:paraId="157C48C1" w14:textId="77777777" w:rsidR="002E18ED" w:rsidRPr="000B7C24" w:rsidRDefault="00AA68E4" w:rsidP="002341A4">
      <w:pPr>
        <w:rPr>
          <w:lang w:val="en-CA"/>
        </w:rPr>
      </w:pPr>
      <w:r w:rsidRPr="000B7C24">
        <w:rPr>
          <w:lang w:val="en-CA"/>
        </w:rPr>
        <w:t>All REB members and designated REB staff are responsible for ensuring that the requirements of this SOP are met.</w:t>
      </w:r>
    </w:p>
    <w:p w14:paraId="5BFFD539" w14:textId="77777777" w:rsidR="00756C58" w:rsidRPr="000B7C24" w:rsidRDefault="002E18ED" w:rsidP="002341A4">
      <w:pPr>
        <w:pStyle w:val="Titre1"/>
        <w:widowControl/>
      </w:pPr>
      <w:bookmarkStart w:id="3" w:name="_Toc151380421"/>
      <w:r w:rsidRPr="000B7C24">
        <w:t>D</w:t>
      </w:r>
      <w:r w:rsidR="00756C58" w:rsidRPr="000B7C24">
        <w:t>efinitions</w:t>
      </w:r>
      <w:bookmarkEnd w:id="3"/>
    </w:p>
    <w:p w14:paraId="00A3E5FF" w14:textId="77777777" w:rsidR="002E18ED" w:rsidRPr="000B7C24" w:rsidRDefault="00A313CE" w:rsidP="002341A4">
      <w:pPr>
        <w:rPr>
          <w:lang w:val="en-CA"/>
        </w:rPr>
      </w:pPr>
      <w:r w:rsidRPr="000B7C24">
        <w:rPr>
          <w:lang w:val="en-CA"/>
        </w:rPr>
        <w:t>See Glossary of Terms.</w:t>
      </w:r>
    </w:p>
    <w:p w14:paraId="2ABB0589" w14:textId="77777777" w:rsidR="00756C58" w:rsidRPr="000B7C24" w:rsidRDefault="002E18ED" w:rsidP="002341A4">
      <w:pPr>
        <w:pStyle w:val="Titre1"/>
        <w:widowControl/>
      </w:pPr>
      <w:bookmarkStart w:id="4" w:name="_Toc151380422"/>
      <w:r w:rsidRPr="000B7C24">
        <w:t>P</w:t>
      </w:r>
      <w:r w:rsidR="00756C58" w:rsidRPr="000B7C24">
        <w:t>rocedures</w:t>
      </w:r>
      <w:bookmarkEnd w:id="4"/>
    </w:p>
    <w:p w14:paraId="63D01E74" w14:textId="13339522" w:rsidR="002E18ED" w:rsidRPr="000B7C24" w:rsidRDefault="00AA68E4" w:rsidP="002341A4">
      <w:pPr>
        <w:rPr>
          <w:lang w:val="en-CA"/>
        </w:rPr>
      </w:pPr>
      <w:r w:rsidRPr="000B7C24">
        <w:rPr>
          <w:lang w:val="en-CA"/>
        </w:rPr>
        <w:t>All research involving human participants must be reviewed and approved by an REB.</w:t>
      </w:r>
      <w:r w:rsidR="00EC4469" w:rsidRPr="000B7C24">
        <w:rPr>
          <w:rStyle w:val="Appelnotedebasdep"/>
          <w:lang w:val="en-CA"/>
        </w:rPr>
        <w:footnoteReference w:id="1"/>
      </w:r>
      <w:r w:rsidRPr="000B7C24">
        <w:rPr>
          <w:lang w:val="en-CA"/>
        </w:rPr>
        <w:t xml:space="preserve"> No intervention or interaction with human participants in research, including recruitment, may begin until an REB has reviewed and approved the research protocol, consent documents, and recruitment materials.</w:t>
      </w:r>
    </w:p>
    <w:p w14:paraId="422D2AA2" w14:textId="77777777" w:rsidR="00AA68E4" w:rsidRPr="000B7C24" w:rsidRDefault="00AA68E4" w:rsidP="002341A4">
      <w:pPr>
        <w:pStyle w:val="Titre2"/>
        <w:widowControl/>
      </w:pPr>
      <w:bookmarkStart w:id="5" w:name="_Toc151380423"/>
      <w:r w:rsidRPr="000B7C24">
        <w:t>Research that Requires REB Review</w:t>
      </w:r>
      <w:bookmarkEnd w:id="5"/>
    </w:p>
    <w:p w14:paraId="59C96CF4" w14:textId="77777777" w:rsidR="00AA68E4" w:rsidRPr="000B7C24" w:rsidRDefault="00AA68E4" w:rsidP="002341A4">
      <w:pPr>
        <w:pStyle w:val="Titre3"/>
        <w:widowControl/>
      </w:pPr>
      <w:r w:rsidRPr="000B7C24">
        <w:t>The following requires ethics review and approval by an REB before the research commences</w:t>
      </w:r>
      <w:r w:rsidRPr="000B7C24">
        <w:rPr>
          <w:rFonts w:ascii="Calibri" w:hAnsi="Calibri" w:cs="Calibri"/>
          <w:vertAlign w:val="superscript"/>
        </w:rPr>
        <w:footnoteReference w:id="2"/>
      </w:r>
      <w:r w:rsidRPr="000B7C24">
        <w:t>:</w:t>
      </w:r>
    </w:p>
    <w:p w14:paraId="1F65C042" w14:textId="1ED984FA" w:rsidR="00AA68E4" w:rsidRPr="000B7C24" w:rsidRDefault="00AA68E4" w:rsidP="002341A4">
      <w:pPr>
        <w:pStyle w:val="SOPBulletC"/>
        <w:rPr>
          <w:lang w:val="en-CA"/>
        </w:rPr>
      </w:pPr>
      <w:r w:rsidRPr="000B7C24">
        <w:rPr>
          <w:lang w:val="en-CA"/>
        </w:rPr>
        <w:t>Research involving human participants and/or personal data</w:t>
      </w:r>
      <w:r w:rsidR="00EC4469" w:rsidRPr="000B7C24">
        <w:rPr>
          <w:lang w:val="en-CA"/>
        </w:rPr>
        <w:t xml:space="preserve"> conducted under the auspices of the institution</w:t>
      </w:r>
      <w:r w:rsidRPr="000B7C24">
        <w:rPr>
          <w:lang w:val="en-CA"/>
        </w:rPr>
        <w:t>,</w:t>
      </w:r>
      <w:r w:rsidR="00EC4469" w:rsidRPr="000B7C24">
        <w:rPr>
          <w:rStyle w:val="Appelnotedebasdep"/>
          <w:lang w:val="en-CA"/>
        </w:rPr>
        <w:footnoteReference w:id="3"/>
      </w:r>
    </w:p>
    <w:p w14:paraId="1D8D61DF" w14:textId="34B4E67C" w:rsidR="00AA68E4" w:rsidRPr="000B7C24" w:rsidRDefault="00AA68E4" w:rsidP="002341A4">
      <w:pPr>
        <w:pStyle w:val="SOPBulletC"/>
        <w:rPr>
          <w:lang w:val="en-CA"/>
        </w:rPr>
      </w:pPr>
      <w:r w:rsidRPr="000B7C24">
        <w:rPr>
          <w:lang w:val="en-CA"/>
        </w:rPr>
        <w:t>Research involving human biological materials, as well as human embryos, fetuses, fetal tissue, reproductive materials and stem cells</w:t>
      </w:r>
      <w:r w:rsidR="00EC4469" w:rsidRPr="000B7C24">
        <w:rPr>
          <w:lang w:val="en-CA"/>
        </w:rPr>
        <w:t>, conducted under the auspices of the institution</w:t>
      </w:r>
      <w:r w:rsidRPr="000B7C24">
        <w:rPr>
          <w:lang w:val="en-CA"/>
        </w:rPr>
        <w:t>.</w:t>
      </w:r>
      <w:r w:rsidR="00EC4469" w:rsidRPr="000B7C24">
        <w:rPr>
          <w:rStyle w:val="Appelnotedebasdep"/>
          <w:lang w:val="en-CA"/>
        </w:rPr>
        <w:footnoteReference w:id="4"/>
      </w:r>
      <w:r w:rsidRPr="000B7C24">
        <w:rPr>
          <w:lang w:val="en-CA"/>
        </w:rPr>
        <w:t xml:space="preserve"> This applies to materials derived from living and deceased individuals.</w:t>
      </w:r>
    </w:p>
    <w:p w14:paraId="53F05CD6" w14:textId="77777777" w:rsidR="00AA68E4" w:rsidRPr="000B7C24" w:rsidRDefault="00AA68E4" w:rsidP="002341A4">
      <w:pPr>
        <w:pStyle w:val="Titre2"/>
        <w:widowControl/>
      </w:pPr>
      <w:bookmarkStart w:id="6" w:name="_Toc151380424"/>
      <w:r w:rsidRPr="000B7C24">
        <w:t>Research Exempt from REB Review</w:t>
      </w:r>
      <w:bookmarkEnd w:id="6"/>
    </w:p>
    <w:p w14:paraId="472659C1" w14:textId="77777777" w:rsidR="00AA68E4" w:rsidRPr="000B7C24" w:rsidRDefault="00AA68E4" w:rsidP="002341A4">
      <w:pPr>
        <w:pStyle w:val="Titre3"/>
        <w:widowControl/>
      </w:pPr>
      <w:r w:rsidRPr="000B7C24">
        <w:t>Research that relies exclusively on publicly available information does not require REB review if either of the following conditions applies</w:t>
      </w:r>
      <w:r w:rsidRPr="000B7C24">
        <w:rPr>
          <w:rFonts w:ascii="Calibri" w:hAnsi="Calibri" w:cs="Calibri"/>
          <w:vertAlign w:val="superscript"/>
        </w:rPr>
        <w:footnoteReference w:id="5"/>
      </w:r>
      <w:r w:rsidRPr="000B7C24">
        <w:t>:</w:t>
      </w:r>
    </w:p>
    <w:p w14:paraId="254E1D0D" w14:textId="77777777" w:rsidR="00AA68E4" w:rsidRPr="000B7C24" w:rsidRDefault="00AA68E4" w:rsidP="002341A4">
      <w:pPr>
        <w:pStyle w:val="SOPBulletC"/>
        <w:rPr>
          <w:lang w:val="en-CA"/>
        </w:rPr>
      </w:pPr>
      <w:r w:rsidRPr="000B7C24">
        <w:rPr>
          <w:lang w:val="en-CA"/>
        </w:rPr>
        <w:t>The information is legally accessible to the public and appropriately protected by law,</w:t>
      </w:r>
    </w:p>
    <w:p w14:paraId="40BD50B1" w14:textId="77777777" w:rsidR="00AA68E4" w:rsidRPr="000B7C24" w:rsidRDefault="00AA68E4" w:rsidP="002341A4">
      <w:pPr>
        <w:pStyle w:val="SOPBulletC"/>
        <w:rPr>
          <w:lang w:val="en-CA"/>
        </w:rPr>
      </w:pPr>
      <w:r w:rsidRPr="000B7C24">
        <w:rPr>
          <w:lang w:val="en-CA"/>
        </w:rPr>
        <w:lastRenderedPageBreak/>
        <w:t xml:space="preserve">The information is publicly accessible and there is no reasonable expectation of </w:t>
      </w:r>
      <w:proofErr w:type="gramStart"/>
      <w:r w:rsidRPr="000B7C24">
        <w:rPr>
          <w:lang w:val="en-CA"/>
        </w:rPr>
        <w:t>privacy;</w:t>
      </w:r>
      <w:proofErr w:type="gramEnd"/>
    </w:p>
    <w:p w14:paraId="39CD6F64" w14:textId="77777777" w:rsidR="00AA68E4" w:rsidRPr="000B7C24" w:rsidRDefault="00AA68E4" w:rsidP="002341A4">
      <w:pPr>
        <w:pStyle w:val="Titre3"/>
        <w:keepNext/>
        <w:widowControl/>
        <w:ind w:left="1138" w:hanging="1138"/>
      </w:pPr>
      <w:r w:rsidRPr="000B7C24">
        <w:t>REB review is not required for research involving the observation of people in public places where all the following conditions apply</w:t>
      </w:r>
      <w:r w:rsidR="00982A66" w:rsidRPr="000B7C24">
        <w:rPr>
          <w:rFonts w:ascii="Calibri" w:hAnsi="Calibri" w:cs="Calibri"/>
          <w:vertAlign w:val="superscript"/>
        </w:rPr>
        <w:footnoteReference w:id="6"/>
      </w:r>
      <w:r w:rsidRPr="000B7C24">
        <w:t>:</w:t>
      </w:r>
    </w:p>
    <w:p w14:paraId="1937280C" w14:textId="77777777" w:rsidR="00AA68E4" w:rsidRPr="000B7C24" w:rsidRDefault="00AA68E4" w:rsidP="002341A4">
      <w:pPr>
        <w:pStyle w:val="SOPBulletC"/>
        <w:rPr>
          <w:lang w:val="en-CA"/>
        </w:rPr>
      </w:pPr>
      <w:r w:rsidRPr="000B7C24">
        <w:rPr>
          <w:lang w:val="en-CA"/>
        </w:rPr>
        <w:t>The research does not involve any intervention staged by the Researcher, or direct interaction with the individuals or groups,</w:t>
      </w:r>
    </w:p>
    <w:p w14:paraId="74080A3B" w14:textId="77777777" w:rsidR="00AA68E4" w:rsidRPr="000B7C24" w:rsidRDefault="00AA68E4" w:rsidP="002341A4">
      <w:pPr>
        <w:pStyle w:val="SOPBulletC"/>
        <w:rPr>
          <w:lang w:val="en-CA"/>
        </w:rPr>
      </w:pPr>
      <w:r w:rsidRPr="000B7C24">
        <w:rPr>
          <w:lang w:val="en-CA"/>
        </w:rPr>
        <w:t>Individuals or groups targeted for observation have no reasonable expectation of privacy, and</w:t>
      </w:r>
    </w:p>
    <w:p w14:paraId="737D6A46" w14:textId="77777777" w:rsidR="00AA68E4" w:rsidRPr="000B7C24" w:rsidRDefault="00AA68E4" w:rsidP="002341A4">
      <w:pPr>
        <w:pStyle w:val="SOPBulletC"/>
        <w:rPr>
          <w:lang w:val="en-CA"/>
        </w:rPr>
      </w:pPr>
      <w:r w:rsidRPr="000B7C24">
        <w:rPr>
          <w:lang w:val="en-CA"/>
        </w:rPr>
        <w:t xml:space="preserve">Any dissemination of research results does not allow identification of specific individuals: </w:t>
      </w:r>
    </w:p>
    <w:p w14:paraId="2D62EE8D" w14:textId="2153F3F9" w:rsidR="00AA68E4" w:rsidRPr="000B7C24" w:rsidRDefault="00323F1C" w:rsidP="003E50DB">
      <w:pPr>
        <w:ind w:left="1170" w:hanging="1170"/>
        <w:rPr>
          <w:lang w:val="en-CA"/>
        </w:rPr>
      </w:pPr>
      <w:r w:rsidRPr="000B7C24">
        <w:rPr>
          <w:lang w:val="en-CA"/>
        </w:rPr>
        <w:t>5.2.3</w:t>
      </w:r>
      <w:r w:rsidRPr="000B7C24">
        <w:rPr>
          <w:lang w:val="en-CA"/>
        </w:rPr>
        <w:tab/>
      </w:r>
      <w:r w:rsidR="00AA68E4" w:rsidRPr="000B7C24">
        <w:rPr>
          <w:lang w:val="en-CA"/>
        </w:rPr>
        <w:t>REB review is not required for research that relies exclusively on secondary use of anonymous information, or anonymous human biological materials, so long as the process of data linkage or recording or dissemination of results does not generate identifiable information.</w:t>
      </w:r>
      <w:r w:rsidR="00982A66" w:rsidRPr="000B7C24">
        <w:rPr>
          <w:rFonts w:ascii="Calibri" w:hAnsi="Calibri" w:cs="Calibri"/>
          <w:vertAlign w:val="superscript"/>
          <w:lang w:val="en-CA"/>
        </w:rPr>
        <w:footnoteReference w:id="7"/>
      </w:r>
      <w:r w:rsidR="00AA68E4" w:rsidRPr="000B7C24">
        <w:rPr>
          <w:lang w:val="en-CA"/>
        </w:rPr>
        <w:t xml:space="preserve"> Biological materials collected as part of health care are never anonymous</w:t>
      </w:r>
      <w:r w:rsidRPr="000B7C24">
        <w:rPr>
          <w:lang w:val="en-CA"/>
        </w:rPr>
        <w:t>.</w:t>
      </w:r>
      <w:r w:rsidRPr="000B7C24">
        <w:rPr>
          <w:rStyle w:val="Appelnotedebasdep"/>
          <w:lang w:val="en-CA"/>
        </w:rPr>
        <w:footnoteReference w:id="8"/>
      </w:r>
    </w:p>
    <w:p w14:paraId="5018F63C" w14:textId="1C20D612" w:rsidR="00323F1C" w:rsidRPr="000B7C24" w:rsidRDefault="00847F1B" w:rsidP="002341A4">
      <w:pPr>
        <w:pStyle w:val="Paragraphedeliste"/>
        <w:numPr>
          <w:ilvl w:val="0"/>
          <w:numId w:val="24"/>
        </w:numPr>
        <w:rPr>
          <w:lang w:val="en-CA"/>
        </w:rPr>
      </w:pPr>
      <w:r w:rsidRPr="000B7C24">
        <w:rPr>
          <w:lang w:val="en-CA"/>
        </w:rPr>
        <w:t>REB review is not required for research that relies exclusively on the re-use of de-identified human somatic cell lines where:</w:t>
      </w:r>
      <w:r w:rsidR="008B2B97" w:rsidRPr="000B7C24">
        <w:rPr>
          <w:rStyle w:val="Appelnotedebasdep"/>
          <w:lang w:val="en-CA"/>
        </w:rPr>
        <w:footnoteReference w:id="9"/>
      </w:r>
    </w:p>
    <w:p w14:paraId="14FDE07C" w14:textId="05AB520A" w:rsidR="00847F1B" w:rsidRPr="000B7C24" w:rsidRDefault="008B2B97" w:rsidP="00847F1B">
      <w:pPr>
        <w:pStyle w:val="Paragraphedeliste"/>
        <w:numPr>
          <w:ilvl w:val="0"/>
          <w:numId w:val="25"/>
        </w:numPr>
        <w:rPr>
          <w:lang w:val="en-CA"/>
        </w:rPr>
      </w:pPr>
      <w:r w:rsidRPr="000B7C24">
        <w:rPr>
          <w:lang w:val="en-CA"/>
        </w:rPr>
        <w:t>t</w:t>
      </w:r>
      <w:r w:rsidR="00847F1B" w:rsidRPr="000B7C24">
        <w:rPr>
          <w:lang w:val="en-CA"/>
        </w:rPr>
        <w:t xml:space="preserve">he researcher </w:t>
      </w:r>
      <w:r w:rsidRPr="000B7C24">
        <w:rPr>
          <w:lang w:val="en-CA"/>
        </w:rPr>
        <w:t xml:space="preserve">will comply with known consent </w:t>
      </w:r>
      <w:proofErr w:type="gramStart"/>
      <w:r w:rsidRPr="000B7C24">
        <w:rPr>
          <w:lang w:val="en-CA"/>
        </w:rPr>
        <w:t>terms;</w:t>
      </w:r>
      <w:proofErr w:type="gramEnd"/>
    </w:p>
    <w:p w14:paraId="76C4011F" w14:textId="05245873" w:rsidR="008B2B97" w:rsidRPr="000B7C24" w:rsidRDefault="008B2B97" w:rsidP="00847F1B">
      <w:pPr>
        <w:pStyle w:val="Paragraphedeliste"/>
        <w:numPr>
          <w:ilvl w:val="0"/>
          <w:numId w:val="25"/>
        </w:numPr>
        <w:rPr>
          <w:lang w:val="en-CA"/>
        </w:rPr>
      </w:pPr>
      <w:r w:rsidRPr="000B7C24">
        <w:rPr>
          <w:lang w:val="en-CA"/>
        </w:rPr>
        <w:t xml:space="preserve">the researcher does not know or have access to the identity of the </w:t>
      </w:r>
      <w:proofErr w:type="gramStart"/>
      <w:r w:rsidRPr="000B7C24">
        <w:rPr>
          <w:lang w:val="en-CA"/>
        </w:rPr>
        <w:t>participant;</w:t>
      </w:r>
      <w:proofErr w:type="gramEnd"/>
    </w:p>
    <w:p w14:paraId="6D3C36EC" w14:textId="76168772" w:rsidR="008B2B97" w:rsidRPr="000B7C24" w:rsidRDefault="008B2B97" w:rsidP="00847F1B">
      <w:pPr>
        <w:pStyle w:val="Paragraphedeliste"/>
        <w:numPr>
          <w:ilvl w:val="0"/>
          <w:numId w:val="25"/>
        </w:numPr>
        <w:rPr>
          <w:lang w:val="en-CA"/>
        </w:rPr>
      </w:pPr>
      <w:r w:rsidRPr="000B7C24">
        <w:rPr>
          <w:lang w:val="en-CA"/>
        </w:rPr>
        <w:t>the researcher will not take any steps to identify the participant; and</w:t>
      </w:r>
    </w:p>
    <w:p w14:paraId="7B270633" w14:textId="626B39C0" w:rsidR="008B2B97" w:rsidRPr="000B7C24" w:rsidRDefault="008B2B97" w:rsidP="00847F1B">
      <w:pPr>
        <w:pStyle w:val="Paragraphedeliste"/>
        <w:numPr>
          <w:ilvl w:val="0"/>
          <w:numId w:val="25"/>
        </w:numPr>
        <w:rPr>
          <w:lang w:val="en-CA"/>
        </w:rPr>
      </w:pPr>
      <w:r w:rsidRPr="000B7C24">
        <w:rPr>
          <w:lang w:val="en-CA"/>
        </w:rPr>
        <w:t>the research is unlikely to reveal the identity of the participant.</w:t>
      </w:r>
    </w:p>
    <w:p w14:paraId="4DEC017B" w14:textId="304D2286" w:rsidR="008B2B97" w:rsidRPr="000B7C24" w:rsidRDefault="008B2B97" w:rsidP="003E50DB">
      <w:pPr>
        <w:pStyle w:val="Paragraphedeliste"/>
        <w:numPr>
          <w:ilvl w:val="0"/>
          <w:numId w:val="24"/>
        </w:numPr>
        <w:ind w:left="2059"/>
        <w:rPr>
          <w:lang w:val="en-CA"/>
        </w:rPr>
      </w:pPr>
      <w:r w:rsidRPr="000B7C24">
        <w:rPr>
          <w:lang w:val="en-CA"/>
        </w:rPr>
        <w:t>REB review is not required for research that relies exclusively on the re-use of identified human somatic cell lines where:</w:t>
      </w:r>
      <w:r w:rsidRPr="000B7C24">
        <w:rPr>
          <w:rStyle w:val="Appelnotedebasdep"/>
          <w:lang w:val="en-CA"/>
        </w:rPr>
        <w:footnoteReference w:id="10"/>
      </w:r>
    </w:p>
    <w:p w14:paraId="7201B508" w14:textId="7426B4E4" w:rsidR="008B2B97" w:rsidRPr="000B7C24" w:rsidRDefault="008B2B97" w:rsidP="008B2B97">
      <w:pPr>
        <w:pStyle w:val="Paragraphedeliste"/>
        <w:numPr>
          <w:ilvl w:val="0"/>
          <w:numId w:val="25"/>
        </w:numPr>
        <w:rPr>
          <w:lang w:val="en-CA"/>
        </w:rPr>
      </w:pPr>
      <w:r w:rsidRPr="000B7C24">
        <w:rPr>
          <w:lang w:val="en-CA"/>
        </w:rPr>
        <w:t xml:space="preserve">the cell line is already available and identified in the public </w:t>
      </w:r>
      <w:proofErr w:type="gramStart"/>
      <w:r w:rsidRPr="000B7C24">
        <w:rPr>
          <w:lang w:val="en-CA"/>
        </w:rPr>
        <w:t>domain;</w:t>
      </w:r>
      <w:proofErr w:type="gramEnd"/>
    </w:p>
    <w:p w14:paraId="468ADC95" w14:textId="0ECA66DC" w:rsidR="008B2B97" w:rsidRPr="000B7C24" w:rsidRDefault="008B2B97" w:rsidP="008B2B97">
      <w:pPr>
        <w:pStyle w:val="Paragraphedeliste"/>
        <w:numPr>
          <w:ilvl w:val="0"/>
          <w:numId w:val="25"/>
        </w:numPr>
        <w:rPr>
          <w:lang w:val="en-CA"/>
        </w:rPr>
      </w:pPr>
      <w:r w:rsidRPr="000B7C24">
        <w:rPr>
          <w:lang w:val="en-CA"/>
        </w:rPr>
        <w:t>it is impossible or impra</w:t>
      </w:r>
      <w:r w:rsidR="000A06AB" w:rsidRPr="000B7C24">
        <w:rPr>
          <w:lang w:val="en-CA"/>
        </w:rPr>
        <w:t xml:space="preserve">cticable to seek participant </w:t>
      </w:r>
      <w:proofErr w:type="gramStart"/>
      <w:r w:rsidR="000A06AB" w:rsidRPr="000B7C24">
        <w:rPr>
          <w:lang w:val="en-CA"/>
        </w:rPr>
        <w:t>consent</w:t>
      </w:r>
      <w:r w:rsidRPr="000B7C24">
        <w:rPr>
          <w:lang w:val="en-CA"/>
        </w:rPr>
        <w:t>;</w:t>
      </w:r>
      <w:proofErr w:type="gramEnd"/>
    </w:p>
    <w:p w14:paraId="583D1087" w14:textId="68C9D27F" w:rsidR="008B2B97" w:rsidRPr="000B7C24" w:rsidRDefault="008B2B97" w:rsidP="008B2B97">
      <w:pPr>
        <w:pStyle w:val="Paragraphedeliste"/>
        <w:numPr>
          <w:ilvl w:val="0"/>
          <w:numId w:val="25"/>
        </w:numPr>
        <w:rPr>
          <w:lang w:val="en-CA"/>
        </w:rPr>
      </w:pPr>
      <w:r w:rsidRPr="000B7C24">
        <w:rPr>
          <w:lang w:val="en-CA"/>
        </w:rPr>
        <w:t xml:space="preserve">the researcher will </w:t>
      </w:r>
      <w:r w:rsidR="000A06AB" w:rsidRPr="000B7C24">
        <w:rPr>
          <w:lang w:val="en-CA"/>
        </w:rPr>
        <w:t>comply with known consent terms</w:t>
      </w:r>
      <w:r w:rsidRPr="000B7C24">
        <w:rPr>
          <w:lang w:val="en-CA"/>
        </w:rPr>
        <w:t>; and</w:t>
      </w:r>
    </w:p>
    <w:p w14:paraId="39AFE110" w14:textId="0A9E1856" w:rsidR="008B2B97" w:rsidRPr="000B7C24" w:rsidRDefault="008B2B97" w:rsidP="008B2B97">
      <w:pPr>
        <w:pStyle w:val="Paragraphedeliste"/>
        <w:numPr>
          <w:ilvl w:val="0"/>
          <w:numId w:val="25"/>
        </w:numPr>
        <w:rPr>
          <w:lang w:val="en-CA"/>
        </w:rPr>
      </w:pPr>
      <w:r w:rsidRPr="000B7C24">
        <w:rPr>
          <w:lang w:val="en-CA"/>
        </w:rPr>
        <w:t xml:space="preserve">the research is unlikely to </w:t>
      </w:r>
      <w:r w:rsidR="000A06AB" w:rsidRPr="000B7C24">
        <w:rPr>
          <w:lang w:val="en-CA"/>
        </w:rPr>
        <w:t>harm</w:t>
      </w:r>
      <w:r w:rsidRPr="000B7C24">
        <w:rPr>
          <w:lang w:val="en-CA"/>
        </w:rPr>
        <w:t xml:space="preserve"> the participant.</w:t>
      </w:r>
    </w:p>
    <w:p w14:paraId="1BBAF50C" w14:textId="77777777" w:rsidR="00323F1C" w:rsidRPr="000B7C24" w:rsidRDefault="00323F1C" w:rsidP="003E50DB">
      <w:pPr>
        <w:pStyle w:val="Paragraphedeliste"/>
        <w:numPr>
          <w:ilvl w:val="0"/>
          <w:numId w:val="0"/>
        </w:numPr>
        <w:spacing w:before="0"/>
        <w:ind w:left="2059"/>
        <w:rPr>
          <w:lang w:val="en-CA"/>
        </w:rPr>
      </w:pPr>
    </w:p>
    <w:p w14:paraId="47665916" w14:textId="01AB17C1" w:rsidR="00AA68E4" w:rsidRPr="000B7C24" w:rsidRDefault="00AA68E4" w:rsidP="002341A4">
      <w:pPr>
        <w:pStyle w:val="Paragraphedeliste"/>
        <w:numPr>
          <w:ilvl w:val="0"/>
          <w:numId w:val="24"/>
        </w:numPr>
        <w:rPr>
          <w:lang w:val="en-CA"/>
        </w:rPr>
      </w:pPr>
      <w:r w:rsidRPr="000B7C24">
        <w:rPr>
          <w:lang w:val="en-CA"/>
        </w:rPr>
        <w:t>The opinion of the REB can be sought whenever there is any doubt about the applicability of the guidelines and regulations to a given research study.</w:t>
      </w:r>
      <w:r w:rsidR="00982A66" w:rsidRPr="000B7C24">
        <w:rPr>
          <w:rStyle w:val="Appelnotedebasdep"/>
          <w:rFonts w:ascii="Calibri" w:hAnsi="Calibri" w:cs="Calibri"/>
          <w:lang w:val="en-CA"/>
        </w:rPr>
        <w:footnoteReference w:id="11"/>
      </w:r>
    </w:p>
    <w:p w14:paraId="5316D41E" w14:textId="021905CF" w:rsidR="009574A9" w:rsidRPr="000B7C24" w:rsidRDefault="009574A9">
      <w:pPr>
        <w:spacing w:before="0" w:after="0"/>
        <w:jc w:val="left"/>
        <w:rPr>
          <w:rFonts w:eastAsiaTheme="majorEastAsia" w:cstheme="minorHAnsi"/>
          <w:b/>
          <w:lang w:val="en-CA"/>
        </w:rPr>
      </w:pPr>
      <w:bookmarkStart w:id="7" w:name="_Toc10124571"/>
    </w:p>
    <w:p w14:paraId="3C746DDF" w14:textId="2255DD48" w:rsidR="00AA68E4" w:rsidRPr="000B7C24" w:rsidRDefault="00AA68E4" w:rsidP="002341A4">
      <w:pPr>
        <w:pStyle w:val="Titre2"/>
        <w:widowControl/>
      </w:pPr>
      <w:bookmarkStart w:id="8" w:name="_Toc151380425"/>
      <w:r w:rsidRPr="000B7C24">
        <w:lastRenderedPageBreak/>
        <w:t>Activities Not Requiring REB Review</w:t>
      </w:r>
      <w:bookmarkEnd w:id="7"/>
      <w:bookmarkEnd w:id="8"/>
    </w:p>
    <w:p w14:paraId="59A7C56C" w14:textId="77777777" w:rsidR="00AA68E4" w:rsidRPr="000B7C24" w:rsidRDefault="00AA68E4" w:rsidP="002341A4">
      <w:pPr>
        <w:pStyle w:val="Titre3"/>
        <w:widowControl/>
      </w:pPr>
      <w:r w:rsidRPr="000B7C24">
        <w:t>Quality assurance and quality improvement studies, program evaluation activities, performance reviews, or testing within normal educational requirements when used exclusively for assessment, management or improvement purposes, do not constitute research for the purposes of this SOP, and do not fall within the scope of REB review</w:t>
      </w:r>
      <w:r w:rsidR="009B4CF4" w:rsidRPr="000B7C24">
        <w:rPr>
          <w:rFonts w:ascii="Calibri" w:hAnsi="Calibri" w:cs="Calibri"/>
          <w:vertAlign w:val="superscript"/>
        </w:rPr>
        <w:footnoteReference w:id="12"/>
      </w:r>
      <w:r w:rsidRPr="000B7C24">
        <w:t>;</w:t>
      </w:r>
    </w:p>
    <w:p w14:paraId="144DB008" w14:textId="77777777" w:rsidR="00AA68E4" w:rsidRPr="000B7C24" w:rsidRDefault="00AA68E4" w:rsidP="002341A4">
      <w:pPr>
        <w:pStyle w:val="Titre3"/>
        <w:widowControl/>
      </w:pPr>
      <w:r w:rsidRPr="000B7C24">
        <w:t>Creative practice activities, in and of themselves, do not require REB review.</w:t>
      </w:r>
      <w:r w:rsidR="00863E4B" w:rsidRPr="000B7C24">
        <w:t xml:space="preserve"> </w:t>
      </w:r>
      <w:r w:rsidRPr="000B7C24">
        <w:t>However, research that employs creative practice to obtain responses from participants that will be analyzed to answer a research question is subject to REB review</w:t>
      </w:r>
      <w:r w:rsidR="009B4CF4" w:rsidRPr="000B7C24">
        <w:rPr>
          <w:rFonts w:ascii="Calibri" w:hAnsi="Calibri" w:cs="Calibri"/>
          <w:vertAlign w:val="superscript"/>
        </w:rPr>
        <w:footnoteReference w:id="13"/>
      </w:r>
      <w:r w:rsidRPr="000B7C24">
        <w:t>;</w:t>
      </w:r>
    </w:p>
    <w:p w14:paraId="0366D6B0" w14:textId="77777777" w:rsidR="00AA68E4" w:rsidRPr="000B7C24" w:rsidRDefault="00AA68E4" w:rsidP="002341A4">
      <w:pPr>
        <w:rPr>
          <w:lang w:val="en-CA"/>
        </w:rPr>
      </w:pPr>
      <w:r w:rsidRPr="000B7C24">
        <w:rPr>
          <w:lang w:val="en-CA"/>
        </w:rPr>
        <w:t>The initial exploratory phase during which researchers may contact individuals or groups to develop research partnerships or gather information for the development of a research project does not require REB review.</w:t>
      </w:r>
      <w:r w:rsidR="00187D98" w:rsidRPr="000B7C24">
        <w:rPr>
          <w:vertAlign w:val="superscript"/>
          <w:lang w:val="en-CA"/>
        </w:rPr>
        <w:t xml:space="preserve"> </w:t>
      </w:r>
      <w:r w:rsidR="00187D98" w:rsidRPr="000B7C24">
        <w:rPr>
          <w:vertAlign w:val="superscript"/>
          <w:lang w:val="en-CA"/>
        </w:rPr>
        <w:footnoteReference w:id="14"/>
      </w:r>
      <w:r w:rsidRPr="000B7C24">
        <w:rPr>
          <w:lang w:val="en-CA"/>
        </w:rPr>
        <w:t xml:space="preserve"> </w:t>
      </w:r>
    </w:p>
    <w:p w14:paraId="1B46BEC2" w14:textId="77777777" w:rsidR="00756C58" w:rsidRPr="000B7C24" w:rsidRDefault="002E18ED" w:rsidP="002341A4">
      <w:pPr>
        <w:pStyle w:val="Titre1"/>
        <w:widowControl/>
      </w:pPr>
      <w:bookmarkStart w:id="9" w:name="_Toc151380426"/>
      <w:r w:rsidRPr="000B7C24">
        <w:t>R</w:t>
      </w:r>
      <w:r w:rsidR="00756C58" w:rsidRPr="000B7C24">
        <w:t>eferences</w:t>
      </w:r>
      <w:bookmarkEnd w:id="9"/>
    </w:p>
    <w:p w14:paraId="0410E163" w14:textId="77777777" w:rsidR="00756C58" w:rsidRPr="000B7C24" w:rsidRDefault="00A313CE" w:rsidP="002341A4">
      <w:pPr>
        <w:rPr>
          <w:lang w:val="en-CA"/>
        </w:rPr>
      </w:pPr>
      <w:r w:rsidRPr="000B7C24">
        <w:rPr>
          <w:lang w:val="en-CA"/>
        </w:rPr>
        <w:t>See footnotes.</w:t>
      </w:r>
    </w:p>
    <w:p w14:paraId="16A33C54" w14:textId="77777777" w:rsidR="00756C58" w:rsidRPr="000B7C24" w:rsidRDefault="002E18ED" w:rsidP="00170434">
      <w:pPr>
        <w:pStyle w:val="Titre1"/>
        <w:widowControl/>
      </w:pPr>
      <w:bookmarkStart w:id="10" w:name="_Toc151380427"/>
      <w:r w:rsidRPr="000B7C24">
        <w:t>R</w:t>
      </w:r>
      <w:r w:rsidR="00756C58" w:rsidRPr="000B7C24">
        <w:t>evision History</w:t>
      </w:r>
      <w:bookmarkEnd w:id="10"/>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0B7C24" w14:paraId="6CC6B523" w14:textId="77777777" w:rsidTr="0030704D">
        <w:tc>
          <w:tcPr>
            <w:tcW w:w="2297" w:type="dxa"/>
            <w:tcBorders>
              <w:right w:val="single" w:sz="4" w:space="0" w:color="auto"/>
            </w:tcBorders>
            <w:shd w:val="clear" w:color="auto" w:fill="auto"/>
            <w:vAlign w:val="center"/>
          </w:tcPr>
          <w:p w14:paraId="0F4E202F" w14:textId="77777777" w:rsidR="00756C58" w:rsidRPr="000B7C24" w:rsidRDefault="00756C58" w:rsidP="00170434">
            <w:pPr>
              <w:keepNext/>
              <w:spacing w:before="0" w:after="0"/>
              <w:jc w:val="center"/>
              <w:rPr>
                <w:rFonts w:eastAsia="Calibri"/>
                <w:b/>
                <w:lang w:val="en-CA"/>
              </w:rPr>
            </w:pPr>
            <w:r w:rsidRPr="000B7C24">
              <w:rPr>
                <w:rFonts w:eastAsia="Calibri"/>
                <w:b/>
                <w:lang w:val="en-CA"/>
              </w:rPr>
              <w:t>SOP Code</w:t>
            </w:r>
          </w:p>
        </w:tc>
        <w:tc>
          <w:tcPr>
            <w:tcW w:w="1559" w:type="dxa"/>
            <w:tcBorders>
              <w:left w:val="single" w:sz="4" w:space="0" w:color="auto"/>
              <w:right w:val="single" w:sz="4" w:space="0" w:color="auto"/>
            </w:tcBorders>
            <w:shd w:val="clear" w:color="auto" w:fill="auto"/>
            <w:vAlign w:val="center"/>
          </w:tcPr>
          <w:p w14:paraId="4335715B" w14:textId="77777777" w:rsidR="00756C58" w:rsidRPr="000B7C24" w:rsidRDefault="00756C58" w:rsidP="00170434">
            <w:pPr>
              <w:keepNext/>
              <w:spacing w:before="0" w:after="0"/>
              <w:jc w:val="center"/>
              <w:rPr>
                <w:rFonts w:eastAsia="Calibri"/>
                <w:b/>
                <w:lang w:val="en-CA"/>
              </w:rPr>
            </w:pPr>
            <w:r w:rsidRPr="000B7C24">
              <w:rPr>
                <w:rFonts w:eastAsia="Calibri"/>
                <w:b/>
                <w:lang w:val="en-CA"/>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44A986E" w14:textId="77777777" w:rsidR="00756C58" w:rsidRPr="000B7C24" w:rsidRDefault="00756C58" w:rsidP="00170434">
            <w:pPr>
              <w:keepNext/>
              <w:spacing w:before="0" w:after="0"/>
              <w:jc w:val="left"/>
              <w:rPr>
                <w:rFonts w:eastAsia="Calibri"/>
                <w:b/>
                <w:lang w:val="en-CA"/>
              </w:rPr>
            </w:pPr>
            <w:r w:rsidRPr="000B7C24">
              <w:rPr>
                <w:rFonts w:eastAsia="Calibri"/>
                <w:b/>
                <w:lang w:val="en-CA"/>
              </w:rPr>
              <w:t>Summary of Changes</w:t>
            </w:r>
          </w:p>
        </w:tc>
      </w:tr>
      <w:tr w:rsidR="00756C58" w:rsidRPr="000B7C24" w14:paraId="2FBBA4AD" w14:textId="77777777" w:rsidTr="0030704D">
        <w:tc>
          <w:tcPr>
            <w:tcW w:w="2297" w:type="dxa"/>
            <w:tcBorders>
              <w:right w:val="single" w:sz="4" w:space="0" w:color="auto"/>
            </w:tcBorders>
            <w:shd w:val="clear" w:color="auto" w:fill="auto"/>
            <w:vAlign w:val="center"/>
          </w:tcPr>
          <w:p w14:paraId="1E1FDF40" w14:textId="2CC3568C" w:rsidR="00756C58" w:rsidRPr="000B7C24" w:rsidRDefault="00756C58" w:rsidP="00170434">
            <w:pPr>
              <w:keepNext/>
              <w:spacing w:before="0" w:after="0"/>
              <w:jc w:val="left"/>
              <w:rPr>
                <w:rFonts w:eastAsia="Calibri" w:cs="Arial"/>
                <w:lang w:val="en-CA"/>
              </w:rPr>
            </w:pPr>
            <w:r w:rsidRPr="000B7C24">
              <w:rPr>
                <w:rFonts w:eastAsia="Calibri"/>
                <w:lang w:val="en-CA"/>
              </w:rPr>
              <w:t>REB</w:t>
            </w:r>
            <w:r w:rsidR="00660163" w:rsidRPr="000B7C24">
              <w:rPr>
                <w:rFonts w:eastAsia="Calibri"/>
                <w:lang w:val="en-CA"/>
              </w:rPr>
              <w:t>-</w:t>
            </w:r>
            <w:r w:rsidRPr="000B7C24">
              <w:rPr>
                <w:rFonts w:eastAsia="Calibri"/>
                <w:lang w:val="en-CA"/>
              </w:rPr>
              <w:t>SOP</w:t>
            </w:r>
            <w:r w:rsidR="00660163" w:rsidRPr="000B7C24">
              <w:rPr>
                <w:rFonts w:eastAsia="Calibri"/>
                <w:lang w:val="en-CA"/>
              </w:rPr>
              <w:t xml:space="preserve"> </w:t>
            </w:r>
            <w:r w:rsidR="009B4CF4" w:rsidRPr="000B7C24">
              <w:rPr>
                <w:rFonts w:eastAsia="Calibri"/>
                <w:lang w:val="en-CA"/>
              </w:rPr>
              <w:t>102</w:t>
            </w:r>
            <w:r w:rsidR="000A06AB" w:rsidRPr="000B7C24">
              <w:rPr>
                <w:rFonts w:eastAsia="Calibri"/>
                <w:lang w:val="en-CA"/>
              </w:rPr>
              <w:t>-</w:t>
            </w:r>
            <w:r w:rsidR="009B4CF4" w:rsidRPr="000B7C24">
              <w:rPr>
                <w:rFonts w:eastAsia="Calibri"/>
                <w:lang w:val="en-CA"/>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C46481" w14:textId="5CDC1073" w:rsidR="00756C58" w:rsidRPr="000B7C24" w:rsidRDefault="000A06AB" w:rsidP="00170434">
            <w:pPr>
              <w:keepNext/>
              <w:spacing w:before="0" w:after="0"/>
              <w:jc w:val="center"/>
              <w:rPr>
                <w:rFonts w:eastAsia="Calibri"/>
                <w:lang w:val="en-CA"/>
              </w:rPr>
            </w:pPr>
            <w:r w:rsidRPr="000B7C24">
              <w:rPr>
                <w:rFonts w:eastAsia="Calibri"/>
                <w:lang w:val="en-CA"/>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45082ED" w14:textId="77777777" w:rsidR="00756C58" w:rsidRPr="000B7C24" w:rsidRDefault="00756C58" w:rsidP="00170434">
            <w:pPr>
              <w:keepNext/>
              <w:spacing w:before="0" w:after="0"/>
              <w:jc w:val="left"/>
              <w:rPr>
                <w:rFonts w:eastAsia="Calibri"/>
                <w:lang w:val="en-CA"/>
              </w:rPr>
            </w:pPr>
            <w:r w:rsidRPr="000B7C24">
              <w:rPr>
                <w:rFonts w:eastAsia="Calibri"/>
                <w:lang w:val="en-CA"/>
              </w:rPr>
              <w:t xml:space="preserve">Original </w:t>
            </w:r>
            <w:r w:rsidR="00B43B4B" w:rsidRPr="000B7C24">
              <w:rPr>
                <w:rFonts w:eastAsia="Calibri"/>
                <w:lang w:val="en-CA"/>
              </w:rPr>
              <w:t>v</w:t>
            </w:r>
            <w:r w:rsidRPr="000B7C24">
              <w:rPr>
                <w:rFonts w:eastAsia="Calibri"/>
                <w:lang w:val="en-CA"/>
              </w:rPr>
              <w:t>ersion</w:t>
            </w:r>
          </w:p>
        </w:tc>
      </w:tr>
      <w:tr w:rsidR="00756C58" w:rsidRPr="000B7C24" w14:paraId="6F6BEE5D" w14:textId="77777777" w:rsidTr="0030704D">
        <w:tc>
          <w:tcPr>
            <w:tcW w:w="2297" w:type="dxa"/>
            <w:tcBorders>
              <w:right w:val="single" w:sz="4" w:space="0" w:color="auto"/>
            </w:tcBorders>
            <w:shd w:val="clear" w:color="auto" w:fill="auto"/>
            <w:vAlign w:val="center"/>
          </w:tcPr>
          <w:p w14:paraId="4CA94DE0" w14:textId="6CF2F87A" w:rsidR="00756C58" w:rsidRPr="000B7C24" w:rsidRDefault="000A06AB" w:rsidP="00170434">
            <w:pPr>
              <w:keepNext/>
              <w:spacing w:before="0" w:after="0"/>
              <w:jc w:val="left"/>
              <w:rPr>
                <w:rFonts w:eastAsia="Calibri"/>
                <w:lang w:val="en-CA"/>
              </w:rPr>
            </w:pPr>
            <w:r w:rsidRPr="000B7C24">
              <w:rPr>
                <w:rFonts w:eastAsia="Calibri"/>
                <w:lang w:val="en-CA"/>
              </w:rPr>
              <w:t>REB-SOP 102-002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1D59BA" w14:textId="76A94F57" w:rsidR="00756C58" w:rsidRPr="000B7C24" w:rsidRDefault="000A06AB" w:rsidP="00170434">
            <w:pPr>
              <w:keepNext/>
              <w:spacing w:before="0" w:after="0"/>
              <w:jc w:val="center"/>
              <w:rPr>
                <w:rFonts w:eastAsia="Calibri"/>
                <w:lang w:val="en-CA"/>
              </w:rPr>
            </w:pPr>
            <w:r w:rsidRPr="000B7C24">
              <w:rPr>
                <w:rFonts w:eastAsia="Calibri"/>
                <w:lang w:val="en-CA"/>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6E100BB" w14:textId="5D61CB92" w:rsidR="00756C58" w:rsidRPr="000B7C24" w:rsidRDefault="000A06AB" w:rsidP="00170434">
            <w:pPr>
              <w:keepNext/>
              <w:spacing w:before="0" w:after="0"/>
              <w:jc w:val="left"/>
              <w:rPr>
                <w:rFonts w:eastAsia="Calibri"/>
                <w:lang w:val="en-CA"/>
              </w:rPr>
            </w:pPr>
            <w:r w:rsidRPr="000B7C24">
              <w:rPr>
                <w:rFonts w:eastAsia="Calibri"/>
                <w:lang w:val="en-CA"/>
              </w:rPr>
              <w:t>Update</w:t>
            </w:r>
            <w:r w:rsidR="00D1257C" w:rsidRPr="000B7C24">
              <w:rPr>
                <w:rFonts w:eastAsia="Calibri"/>
                <w:lang w:val="en-CA"/>
              </w:rPr>
              <w:t xml:space="preserve">d in line with </w:t>
            </w:r>
            <w:r w:rsidRPr="000B7C24">
              <w:rPr>
                <w:rFonts w:eastAsia="Calibri"/>
                <w:lang w:val="en-CA"/>
              </w:rPr>
              <w:t xml:space="preserve">regulations in </w:t>
            </w:r>
            <w:proofErr w:type="gramStart"/>
            <w:r w:rsidRPr="000B7C24">
              <w:rPr>
                <w:rFonts w:eastAsia="Calibri"/>
                <w:lang w:val="en-CA"/>
              </w:rPr>
              <w:t>effect</w:t>
            </w:r>
            <w:proofErr w:type="gramEnd"/>
          </w:p>
          <w:p w14:paraId="7F07F5C1" w14:textId="3F3753FF" w:rsidR="000A06AB" w:rsidRPr="000B7C24" w:rsidRDefault="000A06AB" w:rsidP="00170434">
            <w:pPr>
              <w:keepNext/>
              <w:spacing w:before="0" w:after="0"/>
              <w:jc w:val="left"/>
              <w:rPr>
                <w:rFonts w:eastAsia="Calibri"/>
                <w:lang w:val="en-CA"/>
              </w:rPr>
            </w:pPr>
            <w:r w:rsidRPr="000B7C24">
              <w:rPr>
                <w:rFonts w:eastAsia="Calibri"/>
                <w:lang w:val="en-CA"/>
              </w:rPr>
              <w:t>Update</w:t>
            </w:r>
            <w:r w:rsidR="00D1257C" w:rsidRPr="000B7C24">
              <w:rPr>
                <w:rFonts w:eastAsia="Calibri"/>
                <w:lang w:val="en-CA"/>
              </w:rPr>
              <w:t>d</w:t>
            </w:r>
            <w:r w:rsidRPr="000B7C24">
              <w:rPr>
                <w:rFonts w:eastAsia="Calibri"/>
                <w:lang w:val="en-CA"/>
              </w:rPr>
              <w:t xml:space="preserve"> references</w:t>
            </w:r>
          </w:p>
        </w:tc>
      </w:tr>
      <w:tr w:rsidR="00756C58" w:rsidRPr="000B7C24" w14:paraId="3CEB2616" w14:textId="77777777" w:rsidTr="0030704D">
        <w:tc>
          <w:tcPr>
            <w:tcW w:w="2297" w:type="dxa"/>
            <w:tcBorders>
              <w:right w:val="single" w:sz="4" w:space="0" w:color="auto"/>
            </w:tcBorders>
            <w:shd w:val="clear" w:color="auto" w:fill="auto"/>
            <w:vAlign w:val="center"/>
          </w:tcPr>
          <w:p w14:paraId="1AA44C5D" w14:textId="77777777" w:rsidR="00756C58" w:rsidRPr="000B7C24" w:rsidRDefault="00756C58" w:rsidP="002341A4">
            <w:pPr>
              <w:spacing w:before="0" w:after="0"/>
              <w:jc w:val="left"/>
              <w:rPr>
                <w:rFonts w:eastAsia="Calibri"/>
                <w:lang w:val="en-CA"/>
              </w:rPr>
            </w:pPr>
          </w:p>
        </w:tc>
        <w:tc>
          <w:tcPr>
            <w:tcW w:w="1559" w:type="dxa"/>
            <w:tcBorders>
              <w:top w:val="single" w:sz="4" w:space="0" w:color="auto"/>
              <w:left w:val="single" w:sz="4" w:space="0" w:color="auto"/>
              <w:right w:val="single" w:sz="4" w:space="0" w:color="auto"/>
            </w:tcBorders>
            <w:shd w:val="clear" w:color="auto" w:fill="auto"/>
            <w:vAlign w:val="center"/>
          </w:tcPr>
          <w:p w14:paraId="2C1258E3" w14:textId="77777777" w:rsidR="00756C58" w:rsidRPr="000B7C24" w:rsidRDefault="00756C58" w:rsidP="002341A4">
            <w:pPr>
              <w:spacing w:before="0" w:after="0"/>
              <w:jc w:val="center"/>
              <w:rPr>
                <w:rFonts w:eastAsia="Calibri"/>
                <w:lang w:val="en-CA"/>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6E8D2C8" w14:textId="77777777" w:rsidR="00756C58" w:rsidRPr="000B7C24" w:rsidRDefault="00756C58" w:rsidP="002341A4">
            <w:pPr>
              <w:spacing w:before="0" w:after="0"/>
              <w:jc w:val="left"/>
              <w:rPr>
                <w:rFonts w:eastAsia="Calibri"/>
                <w:lang w:val="en-CA"/>
              </w:rPr>
            </w:pPr>
          </w:p>
        </w:tc>
      </w:tr>
    </w:tbl>
    <w:p w14:paraId="2420F542" w14:textId="77777777" w:rsidR="00756C58" w:rsidRPr="000B7C24" w:rsidRDefault="002E18ED" w:rsidP="002341A4">
      <w:pPr>
        <w:pStyle w:val="Titre1"/>
        <w:widowControl/>
      </w:pPr>
      <w:bookmarkStart w:id="11" w:name="_Toc10124574"/>
      <w:bookmarkStart w:id="12" w:name="_Toc151380428"/>
      <w:r w:rsidRPr="000B7C24">
        <w:t>Appendices</w:t>
      </w:r>
      <w:bookmarkEnd w:id="11"/>
      <w:bookmarkEnd w:id="12"/>
    </w:p>
    <w:p w14:paraId="1F6DA199" w14:textId="77777777" w:rsidR="00756C58" w:rsidRPr="000B7C24" w:rsidRDefault="00756C58" w:rsidP="002341A4">
      <w:pPr>
        <w:rPr>
          <w:lang w:val="en-CA"/>
        </w:rPr>
      </w:pPr>
    </w:p>
    <w:sectPr w:rsidR="00756C58" w:rsidRPr="000B7C24" w:rsidSect="0030269A">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86D5" w14:textId="77777777" w:rsidR="00CC63D4" w:rsidRDefault="00CC63D4" w:rsidP="0030269A">
      <w:pPr>
        <w:spacing w:before="0" w:after="0"/>
      </w:pPr>
      <w:r>
        <w:separator/>
      </w:r>
    </w:p>
  </w:endnote>
  <w:endnote w:type="continuationSeparator" w:id="0">
    <w:p w14:paraId="7CEB8815" w14:textId="77777777" w:rsidR="00CC63D4" w:rsidRDefault="00CC63D4"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132E" w14:textId="77777777" w:rsidR="002E18ED" w:rsidRPr="00627E38" w:rsidRDefault="002E18ED" w:rsidP="002E18ED">
    <w:pPr>
      <w:pStyle w:val="Pieddepage"/>
      <w:pBdr>
        <w:bottom w:val="single" w:sz="4" w:space="1" w:color="auto"/>
      </w:pBdr>
      <w:rPr>
        <w:sz w:val="20"/>
        <w:szCs w:val="20"/>
      </w:rPr>
    </w:pPr>
  </w:p>
  <w:p w14:paraId="5C51A8FF" w14:textId="1149701A"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BA73E8">
      <w:rPr>
        <w:color w:val="A6A6A6" w:themeColor="background1" w:themeShade="A6"/>
        <w:sz w:val="20"/>
        <w:szCs w:val="20"/>
        <w:lang w:val="en-US"/>
      </w:rPr>
      <w:t xml:space="preserve"> SOP updated </w:t>
    </w:r>
    <w:r w:rsidR="00E521DB">
      <w:rPr>
        <w:color w:val="A6A6A6" w:themeColor="background1" w:themeShade="A6"/>
        <w:sz w:val="20"/>
        <w:szCs w:val="20"/>
        <w:lang w:val="en-US"/>
      </w:rPr>
      <w:t xml:space="preserve">to reflect </w:t>
    </w:r>
    <w:r w:rsidR="00BA73E8">
      <w:rPr>
        <w:color w:val="A6A6A6" w:themeColor="background1" w:themeShade="A6"/>
        <w:sz w:val="20"/>
        <w:szCs w:val="20"/>
        <w:lang w:val="en-US"/>
      </w:rPr>
      <w:t>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09E0E" w14:textId="77777777" w:rsidR="00CC63D4" w:rsidRDefault="00CC63D4" w:rsidP="0030269A">
      <w:pPr>
        <w:spacing w:before="0" w:after="0"/>
      </w:pPr>
      <w:r>
        <w:separator/>
      </w:r>
    </w:p>
  </w:footnote>
  <w:footnote w:type="continuationSeparator" w:id="0">
    <w:p w14:paraId="7347D7CD" w14:textId="77777777" w:rsidR="00CC63D4" w:rsidRDefault="00CC63D4" w:rsidP="0030269A">
      <w:pPr>
        <w:spacing w:before="0" w:after="0"/>
      </w:pPr>
      <w:r>
        <w:continuationSeparator/>
      </w:r>
    </w:p>
  </w:footnote>
  <w:footnote w:id="1">
    <w:p w14:paraId="3CECFC90" w14:textId="5995CE7B" w:rsidR="00EC4469" w:rsidRPr="009C7A06" w:rsidRDefault="00EC4469">
      <w:pPr>
        <w:pStyle w:val="Notedebasdepage"/>
        <w:rPr>
          <w:lang w:val="en-CA"/>
        </w:rPr>
      </w:pPr>
      <w:r>
        <w:rPr>
          <w:rStyle w:val="Appelnotedebasdep"/>
        </w:rPr>
        <w:footnoteRef/>
      </w:r>
      <w:r>
        <w:t xml:space="preserve"> </w:t>
      </w:r>
      <w:r>
        <w:rPr>
          <w:lang w:val="en-CA"/>
        </w:rPr>
        <w:tab/>
        <w:t>REB-SOP 101-002, art. 5.1.1.</w:t>
      </w:r>
    </w:p>
  </w:footnote>
  <w:footnote w:id="2">
    <w:p w14:paraId="43EF6965" w14:textId="243A807B" w:rsidR="00AA68E4" w:rsidRPr="00BE5205" w:rsidRDefault="00AA68E4" w:rsidP="0096686D">
      <w:pPr>
        <w:pStyle w:val="Notedebasdepage"/>
        <w:rPr>
          <w:lang w:val="en-CA"/>
        </w:rPr>
      </w:pPr>
      <w:r w:rsidRPr="00BE5205">
        <w:rPr>
          <w:rStyle w:val="Appelnotedebasdep"/>
          <w:lang w:val="en-CA"/>
        </w:rPr>
        <w:footnoteRef/>
      </w:r>
      <w:r w:rsidRPr="00BE5205">
        <w:rPr>
          <w:vertAlign w:val="superscript"/>
          <w:lang w:val="en-CA"/>
        </w:rPr>
        <w:t xml:space="preserve"> </w:t>
      </w:r>
      <w:r w:rsidRPr="00BE5205">
        <w:rPr>
          <w:lang w:val="en-CA"/>
        </w:rPr>
        <w:tab/>
        <w:t>Canadian Institutes of Health Research, Natural Sciences and Engineering Research Council of Canada, and Social Sciences and Humanities Research Council of Canada, Tri-Council Policy Statement: Ethical Conduct for Research Involving Humans, December 201</w:t>
      </w:r>
      <w:r w:rsidR="00EC4469">
        <w:rPr>
          <w:lang w:val="en-CA"/>
        </w:rPr>
        <w:t>8</w:t>
      </w:r>
      <w:r w:rsidRPr="00BE5205">
        <w:rPr>
          <w:lang w:val="en-CA"/>
        </w:rPr>
        <w:t>, hereafter “TCPS2”, art. 2.1. See also:</w:t>
      </w:r>
      <w:r w:rsidRPr="00BE5205">
        <w:t xml:space="preserve"> </w:t>
      </w:r>
      <w:r w:rsidR="00EC4469">
        <w:rPr>
          <w:i/>
        </w:rPr>
        <w:t>Cadre de r</w:t>
      </w:r>
      <w:proofErr w:type="spellStart"/>
      <w:r w:rsidR="00EC4469">
        <w:rPr>
          <w:i/>
          <w:lang w:val="en-CA"/>
        </w:rPr>
        <w:t>éférence</w:t>
      </w:r>
      <w:proofErr w:type="spellEnd"/>
      <w:r w:rsidRPr="00BE5205">
        <w:rPr>
          <w:i/>
        </w:rPr>
        <w:t xml:space="preserve"> ministériel </w:t>
      </w:r>
      <w:r w:rsidR="00EC4469">
        <w:rPr>
          <w:i/>
        </w:rPr>
        <w:t>pour</w:t>
      </w:r>
      <w:r w:rsidRPr="00BE5205">
        <w:rPr>
          <w:i/>
        </w:rPr>
        <w:t xml:space="preserve"> la recherche </w:t>
      </w:r>
      <w:r w:rsidR="00EC4469">
        <w:rPr>
          <w:i/>
        </w:rPr>
        <w:t>avec des participants humains</w:t>
      </w:r>
      <w:r w:rsidRPr="00BE5205">
        <w:rPr>
          <w:i/>
        </w:rPr>
        <w:t>, Gouvernement du Québec, Ministère de la Santé et des Services sociaux</w:t>
      </w:r>
      <w:r w:rsidRPr="00BE5205">
        <w:rPr>
          <w:lang w:val="en-CA"/>
        </w:rPr>
        <w:t xml:space="preserve">, </w:t>
      </w:r>
      <w:r w:rsidR="00EC4469">
        <w:rPr>
          <w:lang w:val="en-CA"/>
        </w:rPr>
        <w:t>October 2020</w:t>
      </w:r>
      <w:r w:rsidRPr="00BE5205">
        <w:rPr>
          <w:lang w:val="en-CA"/>
        </w:rPr>
        <w:t>, hereafter “</w:t>
      </w:r>
      <w:r w:rsidR="00EC4469" w:rsidRPr="00C867AA">
        <w:rPr>
          <w:i/>
          <w:iCs/>
          <w:lang w:val="en-CA"/>
        </w:rPr>
        <w:t>Cadre</w:t>
      </w:r>
      <w:r w:rsidRPr="00BE5205">
        <w:rPr>
          <w:lang w:val="en-CA"/>
        </w:rPr>
        <w:t xml:space="preserve">”, </w:t>
      </w:r>
      <w:r w:rsidR="00EC4469">
        <w:rPr>
          <w:lang w:val="en-CA"/>
        </w:rPr>
        <w:t>art. 1.5</w:t>
      </w:r>
      <w:r w:rsidRPr="00BE5205">
        <w:rPr>
          <w:lang w:val="en-CA"/>
        </w:rPr>
        <w:t>.</w:t>
      </w:r>
    </w:p>
  </w:footnote>
  <w:footnote w:id="3">
    <w:p w14:paraId="19CF3A66" w14:textId="0F0315DB" w:rsidR="00EC4469" w:rsidRPr="00183DF7" w:rsidRDefault="00EC4469">
      <w:pPr>
        <w:pStyle w:val="Notedebasdepage"/>
        <w:rPr>
          <w:lang w:val="en-CA"/>
        </w:rPr>
      </w:pPr>
      <w:r>
        <w:rPr>
          <w:rStyle w:val="Appelnotedebasdep"/>
        </w:rPr>
        <w:footnoteRef/>
      </w:r>
      <w:r>
        <w:t xml:space="preserve"> </w:t>
      </w:r>
      <w:r>
        <w:rPr>
          <w:lang w:val="en-CA"/>
        </w:rPr>
        <w:tab/>
      </w:r>
      <w:r w:rsidR="00EF0A9B">
        <w:rPr>
          <w:lang w:val="en-CA"/>
        </w:rPr>
        <w:t>REB-</w:t>
      </w:r>
      <w:r>
        <w:rPr>
          <w:lang w:val="en-CA"/>
        </w:rPr>
        <w:t>SOP 101-002, art. 5.1.1.</w:t>
      </w:r>
    </w:p>
  </w:footnote>
  <w:footnote w:id="4">
    <w:p w14:paraId="1AFAF88B" w14:textId="64795D5E" w:rsidR="00EC4469" w:rsidRPr="00183DF7" w:rsidRDefault="00EC4469">
      <w:pPr>
        <w:pStyle w:val="Notedebasdepage"/>
        <w:rPr>
          <w:lang w:val="en-CA"/>
        </w:rPr>
      </w:pPr>
      <w:r>
        <w:rPr>
          <w:rStyle w:val="Appelnotedebasdep"/>
        </w:rPr>
        <w:footnoteRef/>
      </w:r>
      <w:r>
        <w:t xml:space="preserve"> </w:t>
      </w:r>
      <w:r>
        <w:rPr>
          <w:lang w:val="en-CA"/>
        </w:rPr>
        <w:tab/>
      </w:r>
      <w:r w:rsidR="00EF0A9B">
        <w:rPr>
          <w:lang w:val="en-CA"/>
        </w:rPr>
        <w:t>REB-</w:t>
      </w:r>
      <w:r>
        <w:rPr>
          <w:lang w:val="en-CA"/>
        </w:rPr>
        <w:t>SOP 101-002, art, 5.1.1.</w:t>
      </w:r>
    </w:p>
  </w:footnote>
  <w:footnote w:id="5">
    <w:p w14:paraId="52AB1624" w14:textId="77777777" w:rsidR="00AA68E4" w:rsidRPr="00BE5205" w:rsidRDefault="00AA68E4" w:rsidP="0096686D">
      <w:pPr>
        <w:pStyle w:val="Notedebasdepage"/>
        <w:rPr>
          <w:lang w:val="en-CA"/>
        </w:rPr>
      </w:pPr>
      <w:r w:rsidRPr="00BE5205">
        <w:rPr>
          <w:rStyle w:val="Appelnotedebasdep"/>
          <w:lang w:val="en-CA"/>
        </w:rPr>
        <w:footnoteRef/>
      </w:r>
      <w:r w:rsidRPr="00BE5205">
        <w:rPr>
          <w:vertAlign w:val="superscript"/>
          <w:lang w:val="en-CA"/>
        </w:rPr>
        <w:t xml:space="preserve"> </w:t>
      </w:r>
      <w:r w:rsidRPr="00BE5205">
        <w:rPr>
          <w:lang w:val="en-CA"/>
        </w:rPr>
        <w:tab/>
        <w:t>TCPS2, art. 2.2.</w:t>
      </w:r>
    </w:p>
  </w:footnote>
  <w:footnote w:id="6">
    <w:p w14:paraId="087D43BD" w14:textId="77777777" w:rsidR="00982A66" w:rsidRPr="00BE5205" w:rsidRDefault="00982A66" w:rsidP="00187D98">
      <w:pPr>
        <w:pStyle w:val="Notedebasdepage"/>
        <w:rPr>
          <w:lang w:val="en-CA"/>
        </w:rPr>
      </w:pPr>
      <w:r w:rsidRPr="00BE5205">
        <w:rPr>
          <w:rStyle w:val="Appelnotedebasdep"/>
          <w:lang w:val="en-CA"/>
        </w:rPr>
        <w:footnoteRef/>
      </w:r>
      <w:r w:rsidRPr="00BE5205">
        <w:rPr>
          <w:vertAlign w:val="superscript"/>
          <w:lang w:val="en-CA"/>
        </w:rPr>
        <w:t xml:space="preserve"> </w:t>
      </w:r>
      <w:r w:rsidRPr="00BE5205">
        <w:rPr>
          <w:lang w:val="en-CA"/>
        </w:rPr>
        <w:tab/>
        <w:t>TCPS2, art. 2.3.</w:t>
      </w:r>
    </w:p>
  </w:footnote>
  <w:footnote w:id="7">
    <w:p w14:paraId="489C6946" w14:textId="747E9216" w:rsidR="00982A66" w:rsidRPr="00BE5205" w:rsidRDefault="00982A66" w:rsidP="00381273">
      <w:pPr>
        <w:pStyle w:val="Notedebasdepage"/>
        <w:rPr>
          <w:lang w:val="en-CA"/>
        </w:rPr>
      </w:pPr>
      <w:r w:rsidRPr="00BE5205">
        <w:rPr>
          <w:rStyle w:val="Appelnotedebasdep"/>
          <w:lang w:val="en-CA"/>
        </w:rPr>
        <w:footnoteRef/>
      </w:r>
      <w:r w:rsidRPr="00BE5205">
        <w:rPr>
          <w:lang w:val="en-CA"/>
        </w:rPr>
        <w:t xml:space="preserve"> </w:t>
      </w:r>
      <w:r w:rsidRPr="00BE5205">
        <w:rPr>
          <w:lang w:val="en-CA"/>
        </w:rPr>
        <w:tab/>
      </w:r>
      <w:r w:rsidRPr="00876CDA">
        <w:rPr>
          <w:rFonts w:cstheme="minorBidi"/>
          <w:lang w:val="en-CA"/>
        </w:rPr>
        <w:t>TCPS2, art. 2.4.</w:t>
      </w:r>
      <w:r w:rsidR="00323F1C" w:rsidRPr="00876CDA">
        <w:rPr>
          <w:rFonts w:cstheme="minorBidi"/>
          <w:lang w:val="en-CA"/>
        </w:rPr>
        <w:t xml:space="preserve">; </w:t>
      </w:r>
      <w:r w:rsidR="00D1257C">
        <w:rPr>
          <w:lang w:val="en-CA"/>
        </w:rPr>
        <w:t>T</w:t>
      </w:r>
      <w:r w:rsidR="00323F1C" w:rsidRPr="00876CDA">
        <w:rPr>
          <w:rFonts w:cstheme="minorBidi"/>
          <w:lang w:val="en-CA"/>
        </w:rPr>
        <w:t>CPS2</w:t>
      </w:r>
      <w:r w:rsidR="00D1257C">
        <w:rPr>
          <w:lang w:val="en-CA"/>
        </w:rPr>
        <w:t>,</w:t>
      </w:r>
      <w:r w:rsidR="00323F1C" w:rsidRPr="00876CDA">
        <w:rPr>
          <w:rFonts w:cstheme="minorBidi"/>
          <w:lang w:val="en-CA"/>
        </w:rPr>
        <w:t xml:space="preserve"> </w:t>
      </w:r>
      <w:r w:rsidR="00323F1C" w:rsidRPr="00381273">
        <w:rPr>
          <w:lang w:val="en-CA"/>
        </w:rPr>
        <w:t>Application</w:t>
      </w:r>
      <w:r w:rsidR="00323F1C" w:rsidRPr="00876CDA">
        <w:rPr>
          <w:rFonts w:cstheme="minorBidi"/>
          <w:lang w:val="en-CA"/>
        </w:rPr>
        <w:t xml:space="preserve"> under art. 2.4 “Anonymous information and human biological materials are distinct from those that have been coded, and also from those that have been anonymized</w:t>
      </w:r>
      <w:r w:rsidR="00323F1C">
        <w:rPr>
          <w:lang w:val="en-CA"/>
        </w:rPr>
        <w:t>.”</w:t>
      </w:r>
    </w:p>
  </w:footnote>
  <w:footnote w:id="8">
    <w:p w14:paraId="7ED56177" w14:textId="46C73EFA" w:rsidR="00323F1C" w:rsidRPr="00876CDA" w:rsidRDefault="00323F1C">
      <w:pPr>
        <w:pStyle w:val="Notedebasdepage"/>
        <w:rPr>
          <w:i/>
          <w:iCs/>
          <w:lang w:val="en-CA"/>
        </w:rPr>
      </w:pPr>
      <w:r>
        <w:rPr>
          <w:rStyle w:val="Appelnotedebasdep"/>
        </w:rPr>
        <w:footnoteRef/>
      </w:r>
      <w:r>
        <w:t xml:space="preserve"> </w:t>
      </w:r>
      <w:r>
        <w:rPr>
          <w:lang w:val="en-CA"/>
        </w:rPr>
        <w:tab/>
        <w:t>In the view of RE</w:t>
      </w:r>
      <w:r w:rsidR="00847F1B">
        <w:rPr>
          <w:lang w:val="en-CA"/>
        </w:rPr>
        <w:t xml:space="preserve">B </w:t>
      </w:r>
      <w:r>
        <w:rPr>
          <w:lang w:val="en-CA"/>
        </w:rPr>
        <w:t xml:space="preserve">members of the CATALIS advisory committee, the paragraph is compliant with art. 22 of the </w:t>
      </w:r>
      <w:r w:rsidRPr="00876CDA">
        <w:rPr>
          <w:lang w:val="en-CA"/>
        </w:rPr>
        <w:t>Civil Code of Québec</w:t>
      </w:r>
      <w:r>
        <w:rPr>
          <w:i/>
          <w:iCs/>
          <w:lang w:val="en-CA"/>
        </w:rPr>
        <w:t>.</w:t>
      </w:r>
    </w:p>
  </w:footnote>
  <w:footnote w:id="9">
    <w:p w14:paraId="32C14476" w14:textId="6C082F04" w:rsidR="008B2B97" w:rsidRPr="00876CDA" w:rsidRDefault="008B2B97">
      <w:pPr>
        <w:pStyle w:val="Notedebasdepage"/>
        <w:rPr>
          <w:lang w:val="en-CA"/>
        </w:rPr>
      </w:pPr>
      <w:r>
        <w:rPr>
          <w:rStyle w:val="Appelnotedebasdep"/>
        </w:rPr>
        <w:footnoteRef/>
      </w:r>
      <w:r>
        <w:t xml:space="preserve"> </w:t>
      </w:r>
      <w:r>
        <w:rPr>
          <w:lang w:val="en-CA"/>
        </w:rPr>
        <w:tab/>
        <w:t>TCPS2, art. 12.21.</w:t>
      </w:r>
    </w:p>
  </w:footnote>
  <w:footnote w:id="10">
    <w:p w14:paraId="2B59EA5F" w14:textId="1B83DE2D" w:rsidR="008B2B97" w:rsidRPr="00DB249C" w:rsidRDefault="008B2B97" w:rsidP="008B2B97">
      <w:pPr>
        <w:pStyle w:val="Notedebasdepage"/>
        <w:rPr>
          <w:lang w:val="en-CA"/>
        </w:rPr>
      </w:pPr>
      <w:r>
        <w:rPr>
          <w:rStyle w:val="Appelnotedebasdep"/>
        </w:rPr>
        <w:footnoteRef/>
      </w:r>
      <w:r>
        <w:t xml:space="preserve"> </w:t>
      </w:r>
      <w:r>
        <w:rPr>
          <w:lang w:val="en-CA"/>
        </w:rPr>
        <w:tab/>
        <w:t>TCPS2, art. 12.2</w:t>
      </w:r>
      <w:r w:rsidR="000A06AB">
        <w:rPr>
          <w:lang w:val="en-CA"/>
        </w:rPr>
        <w:t>2</w:t>
      </w:r>
      <w:r>
        <w:rPr>
          <w:lang w:val="en-CA"/>
        </w:rPr>
        <w:t>.</w:t>
      </w:r>
    </w:p>
  </w:footnote>
  <w:footnote w:id="11">
    <w:p w14:paraId="337F8470" w14:textId="2C3F29B8" w:rsidR="00982A66" w:rsidRPr="00BE5205" w:rsidRDefault="00982A66" w:rsidP="00187D98">
      <w:pPr>
        <w:pStyle w:val="Notedebasdepage"/>
        <w:rPr>
          <w:lang w:val="en-CA"/>
        </w:rPr>
      </w:pPr>
      <w:r w:rsidRPr="00BE5205">
        <w:rPr>
          <w:rStyle w:val="Appelnotedebasdep"/>
          <w:lang w:val="en-CA"/>
        </w:rPr>
        <w:footnoteRef/>
      </w:r>
      <w:r w:rsidRPr="00BE5205">
        <w:rPr>
          <w:lang w:val="en-CA"/>
        </w:rPr>
        <w:t xml:space="preserve"> </w:t>
      </w:r>
      <w:r w:rsidRPr="00BE5205">
        <w:rPr>
          <w:lang w:val="en-CA"/>
        </w:rPr>
        <w:tab/>
        <w:t xml:space="preserve">TCPS2, </w:t>
      </w:r>
      <w:r w:rsidR="000A06AB">
        <w:rPr>
          <w:lang w:val="en-CA"/>
        </w:rPr>
        <w:t xml:space="preserve">Application under art. 2.4; TCPS2, Application under art. 12.21; TCPS2, Application under art. 12.22; </w:t>
      </w:r>
      <w:r w:rsidR="000A06AB">
        <w:rPr>
          <w:i/>
          <w:iCs/>
          <w:lang w:val="en-CA"/>
        </w:rPr>
        <w:t>Cadre</w:t>
      </w:r>
      <w:r w:rsidR="000A06AB">
        <w:rPr>
          <w:lang w:val="en-CA"/>
        </w:rPr>
        <w:t>, art. 1.5</w:t>
      </w:r>
      <w:r w:rsidRPr="00BE5205">
        <w:rPr>
          <w:lang w:val="en-CA"/>
        </w:rPr>
        <w:t>.</w:t>
      </w:r>
    </w:p>
  </w:footnote>
  <w:footnote w:id="12">
    <w:p w14:paraId="3E0886A4" w14:textId="5ED848F4" w:rsidR="009B4CF4" w:rsidRPr="00BE5205" w:rsidRDefault="009B4CF4" w:rsidP="00187D98">
      <w:pPr>
        <w:pStyle w:val="Notedebasdepage"/>
        <w:rPr>
          <w:lang w:val="en-CA"/>
        </w:rPr>
      </w:pPr>
      <w:r w:rsidRPr="00BE5205">
        <w:rPr>
          <w:rStyle w:val="Appelnotedebasdep"/>
          <w:lang w:val="en-CA"/>
        </w:rPr>
        <w:footnoteRef/>
      </w:r>
      <w:r w:rsidRPr="00BE5205">
        <w:rPr>
          <w:vertAlign w:val="superscript"/>
          <w:lang w:val="en-CA"/>
        </w:rPr>
        <w:t xml:space="preserve"> </w:t>
      </w:r>
      <w:r w:rsidRPr="00BE5205">
        <w:rPr>
          <w:lang w:val="en-CA"/>
        </w:rPr>
        <w:tab/>
        <w:t>TCPS2, art. 2.5</w:t>
      </w:r>
      <w:r w:rsidR="000A06AB">
        <w:rPr>
          <w:lang w:val="en-CA"/>
        </w:rPr>
        <w:t xml:space="preserve">; </w:t>
      </w:r>
      <w:r w:rsidR="000A06AB">
        <w:rPr>
          <w:i/>
          <w:iCs/>
          <w:lang w:val="en-CA"/>
        </w:rPr>
        <w:t>Cadre</w:t>
      </w:r>
      <w:r w:rsidR="000A06AB">
        <w:rPr>
          <w:lang w:val="en-CA"/>
        </w:rPr>
        <w:t>, art. 1.5</w:t>
      </w:r>
      <w:r w:rsidRPr="00BE5205">
        <w:rPr>
          <w:lang w:val="en-CA"/>
        </w:rPr>
        <w:t>.</w:t>
      </w:r>
    </w:p>
  </w:footnote>
  <w:footnote w:id="13">
    <w:p w14:paraId="68222621" w14:textId="77777777" w:rsidR="009B4CF4" w:rsidRPr="00BE5205" w:rsidRDefault="009B4CF4" w:rsidP="00187D98">
      <w:pPr>
        <w:pStyle w:val="Notedebasdepage"/>
        <w:rPr>
          <w:lang w:val="en-CA"/>
        </w:rPr>
      </w:pPr>
      <w:r w:rsidRPr="00BE5205">
        <w:rPr>
          <w:rStyle w:val="Appelnotedebasdep"/>
          <w:lang w:val="en-CA"/>
        </w:rPr>
        <w:footnoteRef/>
      </w:r>
      <w:r w:rsidRPr="00BE5205">
        <w:rPr>
          <w:vertAlign w:val="superscript"/>
          <w:lang w:val="en-CA"/>
        </w:rPr>
        <w:t xml:space="preserve"> </w:t>
      </w:r>
      <w:r w:rsidRPr="00BE5205">
        <w:rPr>
          <w:lang w:val="en-CA"/>
        </w:rPr>
        <w:tab/>
        <w:t>TCPS2, art. 2.6.</w:t>
      </w:r>
    </w:p>
  </w:footnote>
  <w:footnote w:id="14">
    <w:p w14:paraId="011DB70E" w14:textId="0E304E17" w:rsidR="00187D98" w:rsidRPr="00BE5205" w:rsidRDefault="00187D98" w:rsidP="00187D98">
      <w:pPr>
        <w:pStyle w:val="Notedebasdepage"/>
        <w:rPr>
          <w:lang w:val="en-CA"/>
        </w:rPr>
      </w:pPr>
      <w:r w:rsidRPr="00BE5205">
        <w:rPr>
          <w:rStyle w:val="Appelnotedebasdep"/>
          <w:lang w:val="en-CA"/>
        </w:rPr>
        <w:footnoteRef/>
      </w:r>
      <w:r w:rsidRPr="00BE5205">
        <w:rPr>
          <w:vertAlign w:val="superscript"/>
          <w:lang w:val="en-CA"/>
        </w:rPr>
        <w:t xml:space="preserve"> </w:t>
      </w:r>
      <w:r w:rsidRPr="00BE5205">
        <w:rPr>
          <w:lang w:val="en-CA"/>
        </w:rPr>
        <w:tab/>
      </w:r>
      <w:r w:rsidR="000A06AB">
        <w:rPr>
          <w:lang w:val="en-CA"/>
        </w:rPr>
        <w:t>TCPS</w:t>
      </w:r>
      <w:r w:rsidRPr="00BE5205">
        <w:rPr>
          <w:lang w:val="en-CA"/>
        </w:rPr>
        <w:t>2, art. 6.11.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D2BE"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7091D4DB" w14:textId="77777777" w:rsidTr="58B8826E">
      <w:trPr>
        <w:trHeight w:val="567"/>
      </w:trPr>
      <w:tc>
        <w:tcPr>
          <w:tcW w:w="4957" w:type="dxa"/>
          <w:vMerge w:val="restart"/>
          <w:tcBorders>
            <w:right w:val="single" w:sz="4" w:space="0" w:color="auto"/>
          </w:tcBorders>
          <w:shd w:val="clear" w:color="auto" w:fill="auto"/>
          <w:vAlign w:val="center"/>
        </w:tcPr>
        <w:p w14:paraId="5396B06B" w14:textId="73D1BC62"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56FADA34" w14:textId="0FBA1769" w:rsidR="0030269A" w:rsidRPr="00D0004E" w:rsidRDefault="58B8826E" w:rsidP="58B8826E">
          <w:pPr>
            <w:spacing w:before="0" w:after="0"/>
            <w:jc w:val="right"/>
            <w:rPr>
              <w:sz w:val="32"/>
              <w:szCs w:val="32"/>
              <w:lang w:val="en-US"/>
            </w:rPr>
          </w:pPr>
          <w:r w:rsidRPr="58B8826E">
            <w:rPr>
              <w:sz w:val="32"/>
              <w:szCs w:val="32"/>
              <w:lang w:val="en-US"/>
            </w:rPr>
            <w:t>REB-SOP</w:t>
          </w:r>
          <w:r w:rsidR="00660163">
            <w:rPr>
              <w:sz w:val="32"/>
              <w:szCs w:val="32"/>
              <w:lang w:val="en-US"/>
            </w:rPr>
            <w:t xml:space="preserve"> </w:t>
          </w:r>
          <w:r w:rsidR="005B5452">
            <w:rPr>
              <w:sz w:val="32"/>
              <w:szCs w:val="32"/>
              <w:lang w:val="en-US"/>
            </w:rPr>
            <w:t>102</w:t>
          </w:r>
          <w:r w:rsidR="00BA73E8">
            <w:rPr>
              <w:sz w:val="32"/>
              <w:szCs w:val="32"/>
              <w:lang w:val="en-US"/>
            </w:rPr>
            <w:t>-002</w:t>
          </w:r>
        </w:p>
      </w:tc>
    </w:tr>
    <w:tr w:rsidR="0030269A" w:rsidRPr="005A11F5" w14:paraId="3A3B3C08" w14:textId="77777777" w:rsidTr="58B8826E">
      <w:trPr>
        <w:trHeight w:val="567"/>
      </w:trPr>
      <w:tc>
        <w:tcPr>
          <w:tcW w:w="4957" w:type="dxa"/>
          <w:vMerge/>
        </w:tcPr>
        <w:p w14:paraId="259FB8D7"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7B82DD81" w14:textId="77777777" w:rsidR="0030269A" w:rsidRPr="002F7EC5" w:rsidRDefault="0030269A" w:rsidP="0030269A">
          <w:pPr>
            <w:spacing w:before="0" w:after="0"/>
            <w:jc w:val="right"/>
            <w:rPr>
              <w:lang w:val="en-US"/>
            </w:rPr>
          </w:pPr>
          <w:r w:rsidRPr="002F7EC5">
            <w:rPr>
              <w:lang w:val="en-US"/>
            </w:rPr>
            <w:t>Research Ethics Board</w:t>
          </w:r>
        </w:p>
        <w:p w14:paraId="6678900D" w14:textId="77777777" w:rsidR="0030269A" w:rsidRPr="002F7EC5" w:rsidRDefault="0030269A" w:rsidP="0030269A">
          <w:pPr>
            <w:spacing w:before="0" w:after="0"/>
            <w:jc w:val="right"/>
            <w:rPr>
              <w:lang w:val="en-US"/>
            </w:rPr>
          </w:pPr>
          <w:r w:rsidRPr="002F7EC5">
            <w:rPr>
              <w:lang w:val="en-US"/>
            </w:rPr>
            <w:t>Standard Operating Procedure</w:t>
          </w:r>
        </w:p>
      </w:tc>
    </w:tr>
  </w:tbl>
  <w:p w14:paraId="0D7ADBAC" w14:textId="77777777" w:rsidR="0030269A" w:rsidRPr="002F7EC5" w:rsidRDefault="0030269A" w:rsidP="0030269A">
    <w:pPr>
      <w:pStyle w:val="En-tte"/>
      <w:rPr>
        <w:lang w:val="en-US"/>
      </w:rPr>
    </w:pPr>
  </w:p>
  <w:p w14:paraId="3D4A0404"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CD2E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28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05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58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288C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27A3E91"/>
    <w:multiLevelType w:val="hybridMultilevel"/>
    <w:tmpl w:val="F3A0DCCE"/>
    <w:lvl w:ilvl="0" w:tplc="B7B8A620">
      <w:start w:val="1"/>
      <w:numFmt w:val="bullet"/>
      <w:lvlText w:val="•"/>
      <w:lvlJc w:val="left"/>
      <w:pPr>
        <w:ind w:left="2421" w:hanging="360"/>
      </w:pPr>
      <w:rPr>
        <w:rFonts w:ascii="Arial" w:hAnsi="Arial" w:hint="default"/>
      </w:rPr>
    </w:lvl>
    <w:lvl w:ilvl="1" w:tplc="10090003" w:tentative="1">
      <w:start w:val="1"/>
      <w:numFmt w:val="bullet"/>
      <w:lvlText w:val="o"/>
      <w:lvlJc w:val="left"/>
      <w:pPr>
        <w:ind w:left="3141" w:hanging="360"/>
      </w:pPr>
      <w:rPr>
        <w:rFonts w:ascii="Courier New" w:hAnsi="Courier New" w:cs="Courier New" w:hint="default"/>
      </w:rPr>
    </w:lvl>
    <w:lvl w:ilvl="2" w:tplc="10090005" w:tentative="1">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18"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B3715A1"/>
    <w:multiLevelType w:val="multilevel"/>
    <w:tmpl w:val="040C001D"/>
    <w:numStyleLink w:val="SOPListeHyrarchise"/>
  </w:abstractNum>
  <w:abstractNum w:abstractNumId="22"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24" w15:restartNumberingAfterBreak="0">
    <w:nsid w:val="73D86CAD"/>
    <w:multiLevelType w:val="hybridMultilevel"/>
    <w:tmpl w:val="F65488A2"/>
    <w:lvl w:ilvl="0" w:tplc="A61C20FC">
      <w:start w:val="1"/>
      <w:numFmt w:val="lowerLetter"/>
      <w:lvlText w:val="(%1)"/>
      <w:lvlJc w:val="left"/>
      <w:pPr>
        <w:ind w:left="2061" w:hanging="360"/>
      </w:pPr>
      <w:rPr>
        <w:rFonts w:hint="default"/>
      </w:rPr>
    </w:lvl>
    <w:lvl w:ilvl="1" w:tplc="0C0C0019" w:tentative="1">
      <w:start w:val="1"/>
      <w:numFmt w:val="lowerLetter"/>
      <w:lvlText w:val="%2."/>
      <w:lvlJc w:val="left"/>
      <w:pPr>
        <w:ind w:left="2781" w:hanging="360"/>
      </w:pPr>
    </w:lvl>
    <w:lvl w:ilvl="2" w:tplc="0C0C001B" w:tentative="1">
      <w:start w:val="1"/>
      <w:numFmt w:val="lowerRoman"/>
      <w:lvlText w:val="%3."/>
      <w:lvlJc w:val="right"/>
      <w:pPr>
        <w:ind w:left="3501" w:hanging="180"/>
      </w:pPr>
    </w:lvl>
    <w:lvl w:ilvl="3" w:tplc="0C0C000F" w:tentative="1">
      <w:start w:val="1"/>
      <w:numFmt w:val="decimal"/>
      <w:lvlText w:val="%4."/>
      <w:lvlJc w:val="left"/>
      <w:pPr>
        <w:ind w:left="4221" w:hanging="360"/>
      </w:pPr>
    </w:lvl>
    <w:lvl w:ilvl="4" w:tplc="0C0C0019" w:tentative="1">
      <w:start w:val="1"/>
      <w:numFmt w:val="lowerLetter"/>
      <w:lvlText w:val="%5."/>
      <w:lvlJc w:val="left"/>
      <w:pPr>
        <w:ind w:left="4941" w:hanging="360"/>
      </w:pPr>
    </w:lvl>
    <w:lvl w:ilvl="5" w:tplc="0C0C001B" w:tentative="1">
      <w:start w:val="1"/>
      <w:numFmt w:val="lowerRoman"/>
      <w:lvlText w:val="%6."/>
      <w:lvlJc w:val="right"/>
      <w:pPr>
        <w:ind w:left="5661" w:hanging="180"/>
      </w:pPr>
    </w:lvl>
    <w:lvl w:ilvl="6" w:tplc="0C0C000F" w:tentative="1">
      <w:start w:val="1"/>
      <w:numFmt w:val="decimal"/>
      <w:lvlText w:val="%7."/>
      <w:lvlJc w:val="left"/>
      <w:pPr>
        <w:ind w:left="6381" w:hanging="360"/>
      </w:pPr>
    </w:lvl>
    <w:lvl w:ilvl="7" w:tplc="0C0C0019" w:tentative="1">
      <w:start w:val="1"/>
      <w:numFmt w:val="lowerLetter"/>
      <w:lvlText w:val="%8."/>
      <w:lvlJc w:val="left"/>
      <w:pPr>
        <w:ind w:left="7101" w:hanging="360"/>
      </w:pPr>
    </w:lvl>
    <w:lvl w:ilvl="8" w:tplc="0C0C001B" w:tentative="1">
      <w:start w:val="1"/>
      <w:numFmt w:val="lowerRoman"/>
      <w:lvlText w:val="%9."/>
      <w:lvlJc w:val="right"/>
      <w:pPr>
        <w:ind w:left="7821" w:hanging="180"/>
      </w:pPr>
    </w:lvl>
  </w:abstractNum>
  <w:num w:numId="1" w16cid:durableId="1516385778">
    <w:abstractNumId w:val="14"/>
  </w:num>
  <w:num w:numId="2" w16cid:durableId="1825464580">
    <w:abstractNumId w:val="20"/>
  </w:num>
  <w:num w:numId="3" w16cid:durableId="1787970202">
    <w:abstractNumId w:val="23"/>
  </w:num>
  <w:num w:numId="4" w16cid:durableId="1403404336">
    <w:abstractNumId w:val="4"/>
  </w:num>
  <w:num w:numId="5" w16cid:durableId="540168519">
    <w:abstractNumId w:val="5"/>
  </w:num>
  <w:num w:numId="6" w16cid:durableId="844445007">
    <w:abstractNumId w:val="6"/>
  </w:num>
  <w:num w:numId="7" w16cid:durableId="1394546512">
    <w:abstractNumId w:val="7"/>
  </w:num>
  <w:num w:numId="8" w16cid:durableId="1413622821">
    <w:abstractNumId w:val="9"/>
  </w:num>
  <w:num w:numId="9" w16cid:durableId="736634483">
    <w:abstractNumId w:val="0"/>
  </w:num>
  <w:num w:numId="10" w16cid:durableId="1644042234">
    <w:abstractNumId w:val="1"/>
  </w:num>
  <w:num w:numId="11" w16cid:durableId="1433548457">
    <w:abstractNumId w:val="2"/>
  </w:num>
  <w:num w:numId="12" w16cid:durableId="1233662884">
    <w:abstractNumId w:val="3"/>
  </w:num>
  <w:num w:numId="13" w16cid:durableId="2059432851">
    <w:abstractNumId w:val="8"/>
  </w:num>
  <w:num w:numId="14" w16cid:durableId="761994690">
    <w:abstractNumId w:val="19"/>
  </w:num>
  <w:num w:numId="15" w16cid:durableId="2140957002">
    <w:abstractNumId w:val="18"/>
  </w:num>
  <w:num w:numId="16" w16cid:durableId="429660632">
    <w:abstractNumId w:val="11"/>
  </w:num>
  <w:num w:numId="17" w16cid:durableId="1503740256">
    <w:abstractNumId w:val="10"/>
  </w:num>
  <w:num w:numId="18" w16cid:durableId="650250164">
    <w:abstractNumId w:val="22"/>
  </w:num>
  <w:num w:numId="19" w16cid:durableId="1495535690">
    <w:abstractNumId w:val="15"/>
  </w:num>
  <w:num w:numId="20" w16cid:durableId="1094206271">
    <w:abstractNumId w:val="13"/>
  </w:num>
  <w:num w:numId="21" w16cid:durableId="487288484">
    <w:abstractNumId w:val="12"/>
  </w:num>
  <w:num w:numId="22" w16cid:durableId="1315835595">
    <w:abstractNumId w:val="21"/>
  </w:num>
  <w:num w:numId="23" w16cid:durableId="325212261">
    <w:abstractNumId w:val="16"/>
  </w:num>
  <w:num w:numId="24" w16cid:durableId="1909880493">
    <w:abstractNumId w:val="24"/>
  </w:num>
  <w:num w:numId="25" w16cid:durableId="164735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52"/>
    <w:rsid w:val="00012A3D"/>
    <w:rsid w:val="0002610A"/>
    <w:rsid w:val="00036D4C"/>
    <w:rsid w:val="000731F7"/>
    <w:rsid w:val="000A06AB"/>
    <w:rsid w:val="000B7C24"/>
    <w:rsid w:val="000E03A3"/>
    <w:rsid w:val="000F0719"/>
    <w:rsid w:val="00170434"/>
    <w:rsid w:val="00183DF7"/>
    <w:rsid w:val="00187D98"/>
    <w:rsid w:val="00226DCF"/>
    <w:rsid w:val="002341A4"/>
    <w:rsid w:val="00283978"/>
    <w:rsid w:val="0028581A"/>
    <w:rsid w:val="002B5BA5"/>
    <w:rsid w:val="002B5EA6"/>
    <w:rsid w:val="002E18ED"/>
    <w:rsid w:val="002E750D"/>
    <w:rsid w:val="0030269A"/>
    <w:rsid w:val="00302BF0"/>
    <w:rsid w:val="0032222C"/>
    <w:rsid w:val="00323F1C"/>
    <w:rsid w:val="00377342"/>
    <w:rsid w:val="00381273"/>
    <w:rsid w:val="00381E3D"/>
    <w:rsid w:val="0038237B"/>
    <w:rsid w:val="00386EA4"/>
    <w:rsid w:val="003C1C44"/>
    <w:rsid w:val="003D29A7"/>
    <w:rsid w:val="003E50DB"/>
    <w:rsid w:val="00407B78"/>
    <w:rsid w:val="004374F7"/>
    <w:rsid w:val="00444D39"/>
    <w:rsid w:val="00492B04"/>
    <w:rsid w:val="00542A47"/>
    <w:rsid w:val="005562A5"/>
    <w:rsid w:val="00563E35"/>
    <w:rsid w:val="00595E16"/>
    <w:rsid w:val="0059613B"/>
    <w:rsid w:val="005A11F5"/>
    <w:rsid w:val="005B5452"/>
    <w:rsid w:val="00613373"/>
    <w:rsid w:val="00660163"/>
    <w:rsid w:val="006679F4"/>
    <w:rsid w:val="006A4376"/>
    <w:rsid w:val="00753239"/>
    <w:rsid w:val="00756C58"/>
    <w:rsid w:val="007E4C40"/>
    <w:rsid w:val="00802F4C"/>
    <w:rsid w:val="00806C60"/>
    <w:rsid w:val="00847F1B"/>
    <w:rsid w:val="00861AE8"/>
    <w:rsid w:val="00863E4B"/>
    <w:rsid w:val="008729A6"/>
    <w:rsid w:val="00876CDA"/>
    <w:rsid w:val="00894673"/>
    <w:rsid w:val="008A587F"/>
    <w:rsid w:val="008B2B97"/>
    <w:rsid w:val="008C756B"/>
    <w:rsid w:val="008E5297"/>
    <w:rsid w:val="008F4B93"/>
    <w:rsid w:val="009574A9"/>
    <w:rsid w:val="0096686D"/>
    <w:rsid w:val="009754E0"/>
    <w:rsid w:val="00982A66"/>
    <w:rsid w:val="009860A6"/>
    <w:rsid w:val="00986A54"/>
    <w:rsid w:val="009B4CF4"/>
    <w:rsid w:val="009C7A06"/>
    <w:rsid w:val="00A26CA7"/>
    <w:rsid w:val="00A313CE"/>
    <w:rsid w:val="00A967C9"/>
    <w:rsid w:val="00AA68E4"/>
    <w:rsid w:val="00AD6673"/>
    <w:rsid w:val="00B20E88"/>
    <w:rsid w:val="00B43B4B"/>
    <w:rsid w:val="00B66BD6"/>
    <w:rsid w:val="00B66EA8"/>
    <w:rsid w:val="00BA73E8"/>
    <w:rsid w:val="00BE5205"/>
    <w:rsid w:val="00C0325C"/>
    <w:rsid w:val="00C867AA"/>
    <w:rsid w:val="00CC63D4"/>
    <w:rsid w:val="00CE63B7"/>
    <w:rsid w:val="00D1257C"/>
    <w:rsid w:val="00D14E15"/>
    <w:rsid w:val="00D23F50"/>
    <w:rsid w:val="00D965FD"/>
    <w:rsid w:val="00DC2BA3"/>
    <w:rsid w:val="00E016ED"/>
    <w:rsid w:val="00E428CC"/>
    <w:rsid w:val="00E521DB"/>
    <w:rsid w:val="00E63E32"/>
    <w:rsid w:val="00E766F1"/>
    <w:rsid w:val="00E83DF3"/>
    <w:rsid w:val="00EC101E"/>
    <w:rsid w:val="00EC34C7"/>
    <w:rsid w:val="00EC4469"/>
    <w:rsid w:val="00EF0A9B"/>
    <w:rsid w:val="00F443B2"/>
    <w:rsid w:val="00F67B7E"/>
    <w:rsid w:val="00F8771D"/>
    <w:rsid w:val="00F96558"/>
    <w:rsid w:val="00FC636C"/>
    <w:rsid w:val="00FD5A2D"/>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65E34"/>
  <w14:defaultImageDpi w14:val="32767"/>
  <w15:chartTrackingRefBased/>
  <w15:docId w15:val="{E32FDF5E-3D48-4C01-B350-9EF61D33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fr-CA"/>
    </w:rPr>
  </w:style>
  <w:style w:type="paragraph" w:styleId="Titre1">
    <w:name w:val="heading 1"/>
    <w:basedOn w:val="Normal"/>
    <w:next w:val="Normal"/>
    <w:link w:val="Titre1Car"/>
    <w:uiPriority w:val="9"/>
    <w:qFormat/>
    <w:rsid w:val="008729A6"/>
    <w:pPr>
      <w:keepNext/>
      <w:widowControl w:val="0"/>
      <w:numPr>
        <w:numId w:val="1"/>
      </w:numPr>
      <w:ind w:left="1138" w:hanging="1138"/>
      <w:outlineLvl w:val="0"/>
    </w:pPr>
    <w:rPr>
      <w:rFonts w:eastAsiaTheme="majorEastAsia" w:cs="Calibri (Corps)"/>
      <w:b/>
      <w:caps/>
      <w:lang w:val="en-CA"/>
    </w:rPr>
  </w:style>
  <w:style w:type="paragraph" w:styleId="Titre2">
    <w:name w:val="heading 2"/>
    <w:basedOn w:val="Normal"/>
    <w:next w:val="Normal"/>
    <w:link w:val="Titre2Car"/>
    <w:uiPriority w:val="9"/>
    <w:unhideWhenUsed/>
    <w:qFormat/>
    <w:rsid w:val="00FC636C"/>
    <w:pPr>
      <w:widowControl w:val="0"/>
      <w:numPr>
        <w:ilvl w:val="1"/>
        <w:numId w:val="1"/>
      </w:numPr>
      <w:tabs>
        <w:tab w:val="left" w:pos="1134"/>
      </w:tabs>
      <w:ind w:left="1134" w:hanging="1134"/>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AD6673"/>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a1c3e9-5c70-48ae-abf9-6cafc0353a2a" xsi:nil="true"/>
    <lcf76f155ced4ddcb4097134ff3c332f xmlns="0867f859-d9ca-420f-8ce6-44e8aa7b0b44">
      <Terms xmlns="http://schemas.microsoft.com/office/infopath/2007/PartnerControls"/>
    </lcf76f155ced4ddcb4097134ff3c332f>
    <Time xmlns="0867f859-d9ca-420f-8ce6-44e8aa7b0b44" xsi:nil="true"/>
  </documentManagement>
</p:properties>
</file>

<file path=customXml/itemProps1.xml><?xml version="1.0" encoding="utf-8"?>
<ds:datastoreItem xmlns:ds="http://schemas.openxmlformats.org/officeDocument/2006/customXml" ds:itemID="{D372840D-45FD-4364-BFD9-6E01B2A75B67}"/>
</file>

<file path=customXml/itemProps2.xml><?xml version="1.0" encoding="utf-8"?>
<ds:datastoreItem xmlns:ds="http://schemas.openxmlformats.org/officeDocument/2006/customXml" ds:itemID="{AC561ACC-6870-488B-A415-CA73CC4A0C4E}">
  <ds:schemaRefs>
    <ds:schemaRef ds:uri="http://schemas.openxmlformats.org/officeDocument/2006/bibliography"/>
  </ds:schemaRefs>
</ds:datastoreItem>
</file>

<file path=customXml/itemProps3.xml><?xml version="1.0" encoding="utf-8"?>
<ds:datastoreItem xmlns:ds="http://schemas.openxmlformats.org/officeDocument/2006/customXml" ds:itemID="{9FC560EA-4834-4703-AA1B-3F2A286826D4}">
  <ds:schemaRefs>
    <ds:schemaRef ds:uri="http://schemas.microsoft.com/sharepoint/v3/contenttype/forms"/>
  </ds:schemaRefs>
</ds:datastoreItem>
</file>

<file path=customXml/itemProps4.xml><?xml version="1.0" encoding="utf-8"?>
<ds:datastoreItem xmlns:ds="http://schemas.openxmlformats.org/officeDocument/2006/customXml" ds:itemID="{EE854B88-63DA-447A-A658-540C18E4FDA3}">
  <ds:schemaRefs>
    <ds:schemaRef ds:uri="http://schemas.microsoft.com/office/2006/metadata/properties"/>
    <ds:schemaRef ds:uri="http://schemas.microsoft.com/office/infopath/2007/PartnerControls"/>
    <ds:schemaRef ds:uri="26b983ed-e362-409c-833e-2f21992cf8e2"/>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10</TotalTime>
  <Pages>4</Pages>
  <Words>826</Words>
  <Characters>4547</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8</cp:revision>
  <dcterms:created xsi:type="dcterms:W3CDTF">2023-11-17T18:43:00Z</dcterms:created>
  <dcterms:modified xsi:type="dcterms:W3CDTF">2023-11-20T21:40:00Z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ies>
</file>