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F81D07" w:rsidRDefault="0030269A" w:rsidP="00F81D07"/>
    <w:tbl>
      <w:tblPr>
        <w:tblStyle w:val="Grilledutableau"/>
        <w:tblW w:w="0" w:type="auto"/>
        <w:tblLook w:val="04A0" w:firstRow="1" w:lastRow="0" w:firstColumn="1" w:lastColumn="0" w:noHBand="0" w:noVBand="1"/>
      </w:tblPr>
      <w:tblGrid>
        <w:gridCol w:w="2785"/>
        <w:gridCol w:w="7285"/>
      </w:tblGrid>
      <w:tr w:rsidR="00F3200B" w:rsidRPr="00433FB9" w14:paraId="7217D512" w14:textId="77777777" w:rsidTr="00F81D07">
        <w:tc>
          <w:tcPr>
            <w:tcW w:w="2785" w:type="dxa"/>
          </w:tcPr>
          <w:p w14:paraId="51ED1B04" w14:textId="046C9D42" w:rsidR="00F3200B" w:rsidRPr="00433FB9" w:rsidRDefault="00F3200B" w:rsidP="00F3200B">
            <w:pPr>
              <w:spacing w:before="60" w:after="60"/>
              <w:rPr>
                <w:b/>
              </w:rPr>
            </w:pPr>
            <w:r w:rsidRPr="00433FB9">
              <w:rPr>
                <w:b/>
              </w:rPr>
              <w:t>Titre</w:t>
            </w:r>
          </w:p>
        </w:tc>
        <w:tc>
          <w:tcPr>
            <w:tcW w:w="7285" w:type="dxa"/>
          </w:tcPr>
          <w:p w14:paraId="10323B41" w14:textId="380A1FD4" w:rsidR="00F3200B" w:rsidRPr="00433FB9" w:rsidRDefault="00F3200B" w:rsidP="00F3200B">
            <w:pPr>
              <w:spacing w:before="60" w:after="60"/>
            </w:pPr>
            <w:r w:rsidRPr="00433FB9">
              <w:t>Activités du CER liées au suivi continu</w:t>
            </w:r>
          </w:p>
        </w:tc>
      </w:tr>
      <w:tr w:rsidR="00F3200B" w:rsidRPr="00433FB9" w14:paraId="19DC661E" w14:textId="77777777" w:rsidTr="00F81D07">
        <w:tc>
          <w:tcPr>
            <w:tcW w:w="2785" w:type="dxa"/>
          </w:tcPr>
          <w:p w14:paraId="1756170B" w14:textId="36E79194" w:rsidR="00F3200B" w:rsidRPr="00433FB9" w:rsidRDefault="00F3200B" w:rsidP="00F3200B">
            <w:pPr>
              <w:spacing w:before="60" w:after="60"/>
              <w:rPr>
                <w:b/>
                <w:bCs/>
              </w:rPr>
            </w:pPr>
            <w:r w:rsidRPr="00433FB9">
              <w:rPr>
                <w:b/>
                <w:bCs/>
              </w:rPr>
              <w:t>Code MON</w:t>
            </w:r>
          </w:p>
        </w:tc>
        <w:tc>
          <w:tcPr>
            <w:tcW w:w="7285" w:type="dxa"/>
          </w:tcPr>
          <w:p w14:paraId="5CBEAC14" w14:textId="2C27979A" w:rsidR="00F3200B" w:rsidRPr="00433FB9" w:rsidRDefault="00F3200B" w:rsidP="00F3200B">
            <w:pPr>
              <w:spacing w:before="60" w:after="60"/>
            </w:pPr>
            <w:r w:rsidRPr="00433FB9">
              <w:t>MON-CER</w:t>
            </w:r>
            <w:r w:rsidR="008C5E10" w:rsidRPr="00433FB9">
              <w:t> </w:t>
            </w:r>
            <w:r w:rsidRPr="00433FB9">
              <w:t>404-002</w:t>
            </w:r>
          </w:p>
        </w:tc>
      </w:tr>
      <w:tr w:rsidR="00F3200B" w:rsidRPr="00433FB9" w14:paraId="4FE41B28" w14:textId="77777777" w:rsidTr="00F81D07">
        <w:tc>
          <w:tcPr>
            <w:tcW w:w="2785" w:type="dxa"/>
          </w:tcPr>
          <w:p w14:paraId="37464120" w14:textId="005EE451" w:rsidR="00F3200B" w:rsidRPr="00433FB9" w:rsidRDefault="00F3200B" w:rsidP="00F3200B">
            <w:pPr>
              <w:spacing w:before="60" w:after="60"/>
              <w:rPr>
                <w:b/>
                <w:bCs/>
              </w:rPr>
            </w:pPr>
            <w:r w:rsidRPr="00433FB9">
              <w:rPr>
                <w:b/>
                <w:bCs/>
              </w:rPr>
              <w:t>Code MON N2/ACCER</w:t>
            </w:r>
          </w:p>
        </w:tc>
        <w:tc>
          <w:tcPr>
            <w:tcW w:w="7285" w:type="dxa"/>
          </w:tcPr>
          <w:p w14:paraId="1D3D3342" w14:textId="05EFB648" w:rsidR="00F3200B" w:rsidRPr="00433FB9" w:rsidRDefault="00F3200B" w:rsidP="00F3200B">
            <w:pPr>
              <w:spacing w:before="60" w:after="60"/>
            </w:pPr>
            <w:r w:rsidRPr="00433FB9">
              <w:t>MON 404-003</w:t>
            </w:r>
          </w:p>
        </w:tc>
      </w:tr>
      <w:tr w:rsidR="00F3200B" w:rsidRPr="00433FB9" w14:paraId="15EAAB06" w14:textId="77777777" w:rsidTr="00F81D07">
        <w:tc>
          <w:tcPr>
            <w:tcW w:w="2785" w:type="dxa"/>
          </w:tcPr>
          <w:p w14:paraId="7CF29F80" w14:textId="23207FA0" w:rsidR="00F3200B" w:rsidRPr="00433FB9" w:rsidRDefault="00F3200B" w:rsidP="00F3200B">
            <w:pPr>
              <w:spacing w:before="60" w:after="60"/>
              <w:rPr>
                <w:b/>
              </w:rPr>
            </w:pPr>
            <w:r w:rsidRPr="00433FB9">
              <w:rPr>
                <w:b/>
              </w:rPr>
              <w:t>Entrée en vigueur</w:t>
            </w:r>
          </w:p>
        </w:tc>
        <w:tc>
          <w:tcPr>
            <w:tcW w:w="7285" w:type="dxa"/>
          </w:tcPr>
          <w:p w14:paraId="02DDE6C4" w14:textId="5830A423" w:rsidR="00F3200B" w:rsidRPr="00433FB9" w:rsidRDefault="00F3200B" w:rsidP="00F3200B">
            <w:pPr>
              <w:spacing w:before="60" w:after="60"/>
            </w:pPr>
            <w:r w:rsidRPr="00433FB9">
              <w:t>YYYY-MM-DD</w:t>
            </w:r>
          </w:p>
        </w:tc>
      </w:tr>
    </w:tbl>
    <w:p w14:paraId="66AFB309" w14:textId="02074C90" w:rsidR="0030269A" w:rsidRPr="00433FB9"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433FB9" w14:paraId="409863BA" w14:textId="77777777" w:rsidTr="00F81D07">
        <w:tc>
          <w:tcPr>
            <w:tcW w:w="2785" w:type="dxa"/>
            <w:shd w:val="clear" w:color="auto" w:fill="D9D9D9" w:themeFill="background1" w:themeFillShade="D9"/>
          </w:tcPr>
          <w:p w14:paraId="6D10F46B" w14:textId="77777777" w:rsidR="00C348F8" w:rsidRPr="00433FB9" w:rsidRDefault="00C348F8" w:rsidP="009D3602">
            <w:pPr>
              <w:spacing w:before="60" w:after="60"/>
              <w:jc w:val="center"/>
              <w:rPr>
                <w:b/>
              </w:rPr>
            </w:pPr>
            <w:r w:rsidRPr="00433FB9">
              <w:rPr>
                <w:b/>
              </w:rPr>
              <w:t>Statut</w:t>
            </w:r>
          </w:p>
        </w:tc>
        <w:tc>
          <w:tcPr>
            <w:tcW w:w="5007" w:type="dxa"/>
            <w:shd w:val="clear" w:color="auto" w:fill="D9D9D9" w:themeFill="background1" w:themeFillShade="D9"/>
          </w:tcPr>
          <w:p w14:paraId="3E7DB159" w14:textId="77777777" w:rsidR="00C348F8" w:rsidRPr="00433FB9" w:rsidRDefault="00C348F8" w:rsidP="009D3602">
            <w:pPr>
              <w:spacing w:before="60" w:after="60"/>
              <w:jc w:val="center"/>
              <w:rPr>
                <w:b/>
              </w:rPr>
            </w:pPr>
            <w:r w:rsidRPr="00433FB9">
              <w:rPr>
                <w:b/>
              </w:rPr>
              <w:t>Nom et titre</w:t>
            </w:r>
          </w:p>
        </w:tc>
        <w:tc>
          <w:tcPr>
            <w:tcW w:w="2206" w:type="dxa"/>
            <w:shd w:val="clear" w:color="auto" w:fill="D9D9D9" w:themeFill="background1" w:themeFillShade="D9"/>
          </w:tcPr>
          <w:p w14:paraId="77097347" w14:textId="77777777" w:rsidR="00C348F8" w:rsidRPr="00433FB9" w:rsidRDefault="00C348F8" w:rsidP="009D3602">
            <w:pPr>
              <w:spacing w:before="60" w:after="60"/>
              <w:jc w:val="center"/>
              <w:rPr>
                <w:b/>
              </w:rPr>
            </w:pPr>
            <w:r w:rsidRPr="00433FB9">
              <w:rPr>
                <w:b/>
              </w:rPr>
              <w:t>Date</w:t>
            </w:r>
          </w:p>
        </w:tc>
      </w:tr>
      <w:tr w:rsidR="00FF4F60" w:rsidRPr="00433FB9" w14:paraId="7AD7477E" w14:textId="77777777" w:rsidTr="00F81D07">
        <w:tc>
          <w:tcPr>
            <w:tcW w:w="2785" w:type="dxa"/>
          </w:tcPr>
          <w:p w14:paraId="3136B701" w14:textId="71364CE4" w:rsidR="00FF4F60" w:rsidRPr="00433FB9" w:rsidRDefault="00FF4F60" w:rsidP="00FF4F60">
            <w:pPr>
              <w:spacing w:before="60" w:after="60"/>
              <w:rPr>
                <w:b/>
                <w:i/>
              </w:rPr>
            </w:pPr>
            <w:r w:rsidRPr="00AD66B5">
              <w:rPr>
                <w:b/>
                <w:bCs/>
                <w:i/>
                <w:iCs/>
              </w:rPr>
              <w:t>Auteur modèle harmonisé</w:t>
            </w:r>
          </w:p>
        </w:tc>
        <w:tc>
          <w:tcPr>
            <w:tcW w:w="5007" w:type="dxa"/>
          </w:tcPr>
          <w:p w14:paraId="1B177270" w14:textId="2833BC62" w:rsidR="00FF4F60" w:rsidRPr="00433FB9" w:rsidRDefault="00FF4F60" w:rsidP="00FF4F60">
            <w:pPr>
              <w:spacing w:before="60" w:after="60"/>
            </w:pPr>
            <w:r w:rsidRPr="00252AAF">
              <w:t>MON CER développés par le Réseau CATALIS</w:t>
            </w:r>
          </w:p>
        </w:tc>
        <w:tc>
          <w:tcPr>
            <w:tcW w:w="2206" w:type="dxa"/>
          </w:tcPr>
          <w:p w14:paraId="6D8DFAB1" w14:textId="0EB45AB0" w:rsidR="00FF4F60" w:rsidRPr="00433FB9" w:rsidRDefault="00FF4F60" w:rsidP="00FF4F60">
            <w:pPr>
              <w:spacing w:before="60" w:after="60"/>
              <w:jc w:val="center"/>
            </w:pPr>
            <w:r w:rsidRPr="00252AAF">
              <w:t>2023-05-01</w:t>
            </w:r>
          </w:p>
        </w:tc>
      </w:tr>
      <w:tr w:rsidR="00FF4F60" w:rsidRPr="00433FB9" w14:paraId="0506E826" w14:textId="77777777" w:rsidTr="00F81D07">
        <w:tc>
          <w:tcPr>
            <w:tcW w:w="2785" w:type="dxa"/>
          </w:tcPr>
          <w:p w14:paraId="2FDE9BE5" w14:textId="1B9237AD" w:rsidR="00FF4F60" w:rsidRPr="00433FB9" w:rsidRDefault="00FF4F60" w:rsidP="00FF4F60">
            <w:pPr>
              <w:spacing w:before="60" w:after="60"/>
              <w:rPr>
                <w:b/>
                <w:i/>
              </w:rPr>
            </w:pPr>
            <w:r w:rsidRPr="00AD66B5">
              <w:rPr>
                <w:b/>
                <w:i/>
              </w:rPr>
              <w:t>Approuvé</w:t>
            </w:r>
          </w:p>
        </w:tc>
        <w:tc>
          <w:tcPr>
            <w:tcW w:w="5007" w:type="dxa"/>
          </w:tcPr>
          <w:p w14:paraId="0A0F620F" w14:textId="574C19AC" w:rsidR="00FF4F60" w:rsidRPr="00433FB9" w:rsidRDefault="00FF4F60" w:rsidP="00FF4F60">
            <w:pPr>
              <w:spacing w:before="60" w:after="60"/>
            </w:pPr>
            <w:r w:rsidRPr="00AD66B5">
              <w:rPr>
                <w:rFonts w:asciiTheme="minorHAnsi" w:hAnsiTheme="minorHAnsi" w:cstheme="minorHAnsi"/>
                <w:i/>
                <w:iCs/>
                <w:color w:val="A6A6A6" w:themeColor="background1" w:themeShade="A6"/>
              </w:rPr>
              <w:t>CER</w:t>
            </w:r>
            <w:r w:rsidRPr="00AD66B5">
              <w:rPr>
                <w:i/>
                <w:color w:val="A6A6A6" w:themeColor="background1" w:themeShade="A6"/>
              </w:rPr>
              <w:t xml:space="preserve"> plénier </w:t>
            </w:r>
            <w:r w:rsidRPr="00AD66B5">
              <w:rPr>
                <w:rFonts w:asciiTheme="minorHAnsi" w:hAnsiTheme="minorHAnsi" w:cstheme="minorHAnsi"/>
                <w:i/>
                <w:iCs/>
                <w:color w:val="A6A6A6" w:themeColor="background1" w:themeShade="A6"/>
              </w:rPr>
              <w:t>XXX</w:t>
            </w:r>
          </w:p>
        </w:tc>
        <w:tc>
          <w:tcPr>
            <w:tcW w:w="2206" w:type="dxa"/>
          </w:tcPr>
          <w:p w14:paraId="0B317FF7" w14:textId="18743085" w:rsidR="00FF4F60" w:rsidRPr="00433FB9" w:rsidRDefault="00FF4F60" w:rsidP="00FF4F60">
            <w:pPr>
              <w:spacing w:before="60" w:after="60"/>
              <w:jc w:val="center"/>
            </w:pPr>
            <w:r w:rsidRPr="00AD66B5">
              <w:t>YYYY-MM-DD</w:t>
            </w:r>
          </w:p>
        </w:tc>
      </w:tr>
      <w:tr w:rsidR="00FF4F60" w:rsidRPr="00433FB9" w14:paraId="26B72179" w14:textId="77777777" w:rsidTr="00F81D07">
        <w:tc>
          <w:tcPr>
            <w:tcW w:w="2785" w:type="dxa"/>
          </w:tcPr>
          <w:p w14:paraId="75049CDE" w14:textId="19BD7D1A" w:rsidR="00FF4F60" w:rsidRPr="00433FB9" w:rsidRDefault="00FF4F60" w:rsidP="00FF4F60">
            <w:pPr>
              <w:spacing w:before="60" w:after="60"/>
              <w:rPr>
                <w:b/>
                <w:bCs/>
                <w:i/>
                <w:iCs/>
              </w:rPr>
            </w:pPr>
            <w:r w:rsidRPr="00AD66B5">
              <w:rPr>
                <w:b/>
                <w:bCs/>
                <w:i/>
                <w:iCs/>
              </w:rPr>
              <w:t>[Approuvé] ou [Prend acte]</w:t>
            </w:r>
          </w:p>
        </w:tc>
        <w:tc>
          <w:tcPr>
            <w:tcW w:w="5007" w:type="dxa"/>
          </w:tcPr>
          <w:p w14:paraId="4D02F126" w14:textId="44677173" w:rsidR="00FF4F60" w:rsidRPr="00433FB9" w:rsidRDefault="00FF4F60" w:rsidP="00FF4F60">
            <w:pPr>
              <w:spacing w:before="60" w:after="60"/>
            </w:pPr>
            <w:r w:rsidRPr="00AD66B5">
              <w:rPr>
                <w:i/>
                <w:color w:val="A6A6A6" w:themeColor="background1" w:themeShade="A6"/>
              </w:rPr>
              <w:t xml:space="preserve">CA </w:t>
            </w:r>
            <w:r w:rsidRPr="00AD66B5">
              <w:rPr>
                <w:rFonts w:asciiTheme="minorHAnsi" w:hAnsiTheme="minorHAnsi" w:cstheme="minorHAnsi"/>
                <w:i/>
                <w:iCs/>
                <w:color w:val="A6A6A6" w:themeColor="background1" w:themeShade="A6"/>
              </w:rPr>
              <w:t>XXX</w:t>
            </w:r>
          </w:p>
        </w:tc>
        <w:tc>
          <w:tcPr>
            <w:tcW w:w="2206" w:type="dxa"/>
          </w:tcPr>
          <w:p w14:paraId="04EA2C6E" w14:textId="4FDA6D4D" w:rsidR="00FF4F60" w:rsidRPr="00433FB9" w:rsidRDefault="00FF4F60" w:rsidP="00FF4F60">
            <w:pPr>
              <w:spacing w:before="60" w:after="60"/>
              <w:jc w:val="center"/>
            </w:pPr>
            <w:r w:rsidRPr="00AD66B5">
              <w:t>YYYY-MM-DD</w:t>
            </w:r>
          </w:p>
        </w:tc>
      </w:tr>
    </w:tbl>
    <w:p w14:paraId="77DBC18A" w14:textId="77777777" w:rsidR="002E18ED" w:rsidRPr="00433FB9" w:rsidRDefault="002E18ED" w:rsidP="00133159">
      <w:pPr>
        <w:rPr>
          <w:b/>
        </w:rPr>
      </w:pPr>
    </w:p>
    <w:p w14:paraId="449CB78E" w14:textId="708FD620" w:rsidR="0030269A" w:rsidRPr="00433FB9" w:rsidRDefault="66E71372" w:rsidP="00AF73C4">
      <w:pPr>
        <w:rPr>
          <w:b/>
          <w:bCs/>
        </w:rPr>
      </w:pPr>
      <w:r w:rsidRPr="00433FB9">
        <w:rPr>
          <w:b/>
          <w:bCs/>
        </w:rPr>
        <w:t>Table des matières</w:t>
      </w:r>
    </w:p>
    <w:p w14:paraId="654532AC" w14:textId="566AF86F" w:rsidR="00C7569C" w:rsidRPr="00433FB9" w:rsidRDefault="0030269A">
      <w:pPr>
        <w:pStyle w:val="TM1"/>
      </w:pPr>
      <w:r w:rsidRPr="00433FB9">
        <w:rPr>
          <w:sz w:val="24"/>
        </w:rPr>
        <w:fldChar w:fldCharType="begin"/>
      </w:r>
      <w:r w:rsidRPr="00433FB9">
        <w:rPr>
          <w:noProof w:val="0"/>
        </w:rPr>
        <w:instrText xml:space="preserve"> TOC \o "1-2" \u </w:instrText>
      </w:r>
      <w:r w:rsidRPr="00433FB9">
        <w:rPr>
          <w:sz w:val="24"/>
        </w:rPr>
        <w:fldChar w:fldCharType="separate"/>
      </w:r>
      <w:r w:rsidR="00C7569C" w:rsidRPr="00433FB9">
        <w:t>1</w:t>
      </w:r>
      <w:r w:rsidR="00C7569C" w:rsidRPr="00433FB9">
        <w:tab/>
        <w:t>Objectif</w:t>
      </w:r>
      <w:r w:rsidR="00C7569C" w:rsidRPr="00433FB9">
        <w:tab/>
      </w:r>
      <w:r w:rsidR="00C7569C" w:rsidRPr="00433FB9">
        <w:fldChar w:fldCharType="begin"/>
      </w:r>
      <w:r w:rsidR="00C7569C" w:rsidRPr="00433FB9">
        <w:instrText xml:space="preserve"> PAGEREF _Toc88487679 \h </w:instrText>
      </w:r>
      <w:r w:rsidR="00C7569C" w:rsidRPr="00433FB9">
        <w:fldChar w:fldCharType="separate"/>
      </w:r>
      <w:r w:rsidR="00C7569C" w:rsidRPr="00433FB9">
        <w:t>1</w:t>
      </w:r>
      <w:r w:rsidR="00C7569C" w:rsidRPr="00433FB9">
        <w:fldChar w:fldCharType="end"/>
      </w:r>
    </w:p>
    <w:p w14:paraId="2AB5D198" w14:textId="60C9AB64" w:rsidR="00C7569C" w:rsidRPr="00433FB9" w:rsidRDefault="00C7569C">
      <w:pPr>
        <w:pStyle w:val="TM1"/>
      </w:pPr>
      <w:r w:rsidRPr="00433FB9">
        <w:t>2</w:t>
      </w:r>
      <w:r w:rsidRPr="00433FB9">
        <w:tab/>
        <w:t>Portée</w:t>
      </w:r>
      <w:r w:rsidRPr="00433FB9">
        <w:tab/>
      </w:r>
      <w:r w:rsidRPr="00433FB9">
        <w:fldChar w:fldCharType="begin"/>
      </w:r>
      <w:r w:rsidRPr="00433FB9">
        <w:instrText xml:space="preserve"> PAGEREF _Toc88487680 \h </w:instrText>
      </w:r>
      <w:r w:rsidRPr="00433FB9">
        <w:fldChar w:fldCharType="separate"/>
      </w:r>
      <w:r w:rsidRPr="00433FB9">
        <w:t>2</w:t>
      </w:r>
      <w:r w:rsidRPr="00433FB9">
        <w:fldChar w:fldCharType="end"/>
      </w:r>
    </w:p>
    <w:p w14:paraId="1C367748" w14:textId="33C0F8D7" w:rsidR="00C7569C" w:rsidRPr="00433FB9" w:rsidRDefault="00C7569C">
      <w:pPr>
        <w:pStyle w:val="TM1"/>
      </w:pPr>
      <w:r w:rsidRPr="00433FB9">
        <w:t>3</w:t>
      </w:r>
      <w:r w:rsidRPr="00433FB9">
        <w:tab/>
        <w:t>Responsabilités</w:t>
      </w:r>
      <w:r w:rsidRPr="00433FB9">
        <w:tab/>
      </w:r>
      <w:r w:rsidRPr="00433FB9">
        <w:fldChar w:fldCharType="begin"/>
      </w:r>
      <w:r w:rsidRPr="00433FB9">
        <w:instrText xml:space="preserve"> PAGEREF _Toc88487681 \h </w:instrText>
      </w:r>
      <w:r w:rsidRPr="00433FB9">
        <w:fldChar w:fldCharType="separate"/>
      </w:r>
      <w:r w:rsidRPr="00433FB9">
        <w:t>2</w:t>
      </w:r>
      <w:r w:rsidRPr="00433FB9">
        <w:fldChar w:fldCharType="end"/>
      </w:r>
    </w:p>
    <w:p w14:paraId="708ACE6F" w14:textId="0D171DF6" w:rsidR="00C7569C" w:rsidRPr="00433FB9" w:rsidRDefault="00C7569C">
      <w:pPr>
        <w:pStyle w:val="TM1"/>
      </w:pPr>
      <w:r w:rsidRPr="00433FB9">
        <w:t>4</w:t>
      </w:r>
      <w:r w:rsidRPr="00433FB9">
        <w:tab/>
        <w:t>Définitions</w:t>
      </w:r>
      <w:r w:rsidRPr="00433FB9">
        <w:tab/>
      </w:r>
      <w:r w:rsidRPr="00433FB9">
        <w:fldChar w:fldCharType="begin"/>
      </w:r>
      <w:r w:rsidRPr="00433FB9">
        <w:instrText xml:space="preserve"> PAGEREF _Toc88487682 \h </w:instrText>
      </w:r>
      <w:r w:rsidRPr="00433FB9">
        <w:fldChar w:fldCharType="separate"/>
      </w:r>
      <w:r w:rsidRPr="00433FB9">
        <w:t>2</w:t>
      </w:r>
      <w:r w:rsidRPr="00433FB9">
        <w:fldChar w:fldCharType="end"/>
      </w:r>
    </w:p>
    <w:p w14:paraId="181E6AE4" w14:textId="4AE50F47" w:rsidR="00C7569C" w:rsidRPr="00433FB9" w:rsidRDefault="00C7569C">
      <w:pPr>
        <w:pStyle w:val="TM1"/>
      </w:pPr>
      <w:r w:rsidRPr="00433FB9">
        <w:t>5</w:t>
      </w:r>
      <w:r w:rsidRPr="00433FB9">
        <w:tab/>
        <w:t>Procédures</w:t>
      </w:r>
      <w:r w:rsidRPr="00433FB9">
        <w:tab/>
      </w:r>
      <w:r w:rsidRPr="00433FB9">
        <w:fldChar w:fldCharType="begin"/>
      </w:r>
      <w:r w:rsidRPr="00433FB9">
        <w:instrText xml:space="preserve"> PAGEREF _Toc88487683 \h </w:instrText>
      </w:r>
      <w:r w:rsidRPr="00433FB9">
        <w:fldChar w:fldCharType="separate"/>
      </w:r>
      <w:r w:rsidRPr="00433FB9">
        <w:t>3</w:t>
      </w:r>
      <w:r w:rsidRPr="00433FB9">
        <w:fldChar w:fldCharType="end"/>
      </w:r>
    </w:p>
    <w:p w14:paraId="61F77C53" w14:textId="5087F760" w:rsidR="00C7569C" w:rsidRPr="00433FB9" w:rsidRDefault="00C7569C">
      <w:pPr>
        <w:pStyle w:val="TM2"/>
      </w:pPr>
      <w:r w:rsidRPr="00433FB9">
        <w:t>5.1</w:t>
      </w:r>
      <w:r w:rsidRPr="00433FB9">
        <w:tab/>
        <w:t>Modifications à un projet de recherche approuvé</w:t>
      </w:r>
      <w:r w:rsidRPr="00433FB9">
        <w:tab/>
      </w:r>
      <w:r w:rsidRPr="00433FB9">
        <w:fldChar w:fldCharType="begin"/>
      </w:r>
      <w:r w:rsidRPr="00433FB9">
        <w:instrText xml:space="preserve"> PAGEREF _Toc88487684 \h </w:instrText>
      </w:r>
      <w:r w:rsidRPr="00433FB9">
        <w:fldChar w:fldCharType="separate"/>
      </w:r>
      <w:r w:rsidRPr="00433FB9">
        <w:t>4</w:t>
      </w:r>
      <w:r w:rsidRPr="00433FB9">
        <w:fldChar w:fldCharType="end"/>
      </w:r>
    </w:p>
    <w:p w14:paraId="6E6971A3" w14:textId="0B29FCE3" w:rsidR="00C7569C" w:rsidRPr="00433FB9" w:rsidRDefault="00C7569C">
      <w:pPr>
        <w:pStyle w:val="TM2"/>
      </w:pPr>
      <w:r w:rsidRPr="00433FB9">
        <w:t>5.2</w:t>
      </w:r>
      <w:r w:rsidRPr="00433FB9">
        <w:tab/>
        <w:t>Événements à déclarer</w:t>
      </w:r>
      <w:r w:rsidRPr="00433FB9">
        <w:tab/>
      </w:r>
      <w:r w:rsidRPr="00433FB9">
        <w:fldChar w:fldCharType="begin"/>
      </w:r>
      <w:r w:rsidRPr="00433FB9">
        <w:instrText xml:space="preserve"> PAGEREF _Toc88487685 \h </w:instrText>
      </w:r>
      <w:r w:rsidRPr="00433FB9">
        <w:fldChar w:fldCharType="separate"/>
      </w:r>
      <w:r w:rsidRPr="00433FB9">
        <w:t>5</w:t>
      </w:r>
      <w:r w:rsidRPr="00433FB9">
        <w:fldChar w:fldCharType="end"/>
      </w:r>
    </w:p>
    <w:p w14:paraId="5E397339" w14:textId="64D7503A" w:rsidR="00C7569C" w:rsidRPr="00433FB9" w:rsidRDefault="00C7569C">
      <w:pPr>
        <w:pStyle w:val="TM2"/>
      </w:pPr>
      <w:r w:rsidRPr="00433FB9">
        <w:t>5.3</w:t>
      </w:r>
      <w:r w:rsidRPr="00433FB9">
        <w:tab/>
        <w:t>Autres rapports</w:t>
      </w:r>
      <w:r w:rsidRPr="00433FB9">
        <w:tab/>
      </w:r>
      <w:r w:rsidRPr="00433FB9">
        <w:fldChar w:fldCharType="begin"/>
      </w:r>
      <w:r w:rsidRPr="00433FB9">
        <w:instrText xml:space="preserve"> PAGEREF _Toc88487686 \h </w:instrText>
      </w:r>
      <w:r w:rsidRPr="00433FB9">
        <w:fldChar w:fldCharType="separate"/>
      </w:r>
      <w:r w:rsidRPr="00433FB9">
        <w:t>8</w:t>
      </w:r>
      <w:r w:rsidRPr="00433FB9">
        <w:fldChar w:fldCharType="end"/>
      </w:r>
    </w:p>
    <w:p w14:paraId="5D063908" w14:textId="332DB104" w:rsidR="00C7569C" w:rsidRPr="00433FB9" w:rsidRDefault="00C7569C">
      <w:pPr>
        <w:pStyle w:val="TM2"/>
      </w:pPr>
      <w:r w:rsidRPr="00433FB9">
        <w:t>5.4</w:t>
      </w:r>
      <w:r w:rsidRPr="00433FB9">
        <w:tab/>
        <w:t>Délais de déclaration d’événements au CER</w:t>
      </w:r>
      <w:r w:rsidRPr="00433FB9">
        <w:tab/>
      </w:r>
      <w:r w:rsidRPr="00433FB9">
        <w:fldChar w:fldCharType="begin"/>
      </w:r>
      <w:r w:rsidRPr="00433FB9">
        <w:instrText xml:space="preserve"> PAGEREF _Toc88487687 \h </w:instrText>
      </w:r>
      <w:r w:rsidRPr="00433FB9">
        <w:fldChar w:fldCharType="separate"/>
      </w:r>
      <w:r w:rsidRPr="00433FB9">
        <w:t>9</w:t>
      </w:r>
      <w:r w:rsidRPr="00433FB9">
        <w:fldChar w:fldCharType="end"/>
      </w:r>
    </w:p>
    <w:p w14:paraId="52C6D440" w14:textId="7AECA829" w:rsidR="00C7569C" w:rsidRPr="00433FB9" w:rsidRDefault="00C7569C">
      <w:pPr>
        <w:pStyle w:val="TM2"/>
      </w:pPr>
      <w:r w:rsidRPr="00433FB9">
        <w:t>5.5</w:t>
      </w:r>
      <w:r w:rsidRPr="00433FB9">
        <w:tab/>
        <w:t>Évaluation des événements à déclarer par le CER</w:t>
      </w:r>
      <w:r w:rsidRPr="00433FB9">
        <w:tab/>
      </w:r>
      <w:r w:rsidRPr="00433FB9">
        <w:fldChar w:fldCharType="begin"/>
      </w:r>
      <w:r w:rsidRPr="00433FB9">
        <w:instrText xml:space="preserve"> PAGEREF _Toc88487688 \h </w:instrText>
      </w:r>
      <w:r w:rsidRPr="00433FB9">
        <w:fldChar w:fldCharType="separate"/>
      </w:r>
      <w:r w:rsidRPr="00433FB9">
        <w:t>10</w:t>
      </w:r>
      <w:r w:rsidRPr="00433FB9">
        <w:fldChar w:fldCharType="end"/>
      </w:r>
    </w:p>
    <w:p w14:paraId="30C98E1E" w14:textId="63FC388F" w:rsidR="00C7569C" w:rsidRPr="00433FB9" w:rsidRDefault="00C7569C">
      <w:pPr>
        <w:pStyle w:val="TM1"/>
      </w:pPr>
      <w:r w:rsidRPr="00433FB9">
        <w:t>6</w:t>
      </w:r>
      <w:r w:rsidRPr="00433FB9">
        <w:tab/>
        <w:t>Références</w:t>
      </w:r>
      <w:r w:rsidRPr="00433FB9">
        <w:tab/>
      </w:r>
      <w:r w:rsidRPr="00433FB9">
        <w:fldChar w:fldCharType="begin"/>
      </w:r>
      <w:r w:rsidRPr="00433FB9">
        <w:instrText xml:space="preserve"> PAGEREF _Toc88487689 \h </w:instrText>
      </w:r>
      <w:r w:rsidRPr="00433FB9">
        <w:fldChar w:fldCharType="separate"/>
      </w:r>
      <w:r w:rsidRPr="00433FB9">
        <w:t>13</w:t>
      </w:r>
      <w:r w:rsidRPr="00433FB9">
        <w:fldChar w:fldCharType="end"/>
      </w:r>
    </w:p>
    <w:p w14:paraId="3F5DD9D5" w14:textId="5E12B5F7" w:rsidR="00C7569C" w:rsidRPr="00433FB9" w:rsidRDefault="46F1A30B">
      <w:pPr>
        <w:pStyle w:val="TM1"/>
      </w:pPr>
      <w:r w:rsidRPr="00433FB9">
        <w:t>7</w:t>
      </w:r>
      <w:r w:rsidR="00C7569C" w:rsidRPr="00433FB9">
        <w:tab/>
      </w:r>
      <w:r w:rsidRPr="00433FB9">
        <w:t>Historique des révisions</w:t>
      </w:r>
      <w:r w:rsidR="00C7569C" w:rsidRPr="00433FB9">
        <w:tab/>
      </w:r>
      <w:r w:rsidR="00C7569C" w:rsidRPr="00433FB9">
        <w:fldChar w:fldCharType="begin"/>
      </w:r>
      <w:r w:rsidR="00C7569C" w:rsidRPr="00433FB9">
        <w:instrText xml:space="preserve"> PAGEREF _Toc88487690 \h </w:instrText>
      </w:r>
      <w:r w:rsidR="00C7569C" w:rsidRPr="00433FB9">
        <w:fldChar w:fldCharType="separate"/>
      </w:r>
      <w:r w:rsidRPr="00433FB9">
        <w:t>13</w:t>
      </w:r>
      <w:r w:rsidR="00C7569C" w:rsidRPr="00433FB9">
        <w:fldChar w:fldCharType="end"/>
      </w:r>
    </w:p>
    <w:p w14:paraId="0E7A9E6B" w14:textId="0EDBB3C7" w:rsidR="00C7569C" w:rsidRPr="00433FB9" w:rsidRDefault="00C7569C">
      <w:pPr>
        <w:pStyle w:val="TM1"/>
      </w:pPr>
      <w:r w:rsidRPr="00433FB9">
        <w:t>8</w:t>
      </w:r>
      <w:r w:rsidRPr="00433FB9">
        <w:tab/>
        <w:t>Annexes</w:t>
      </w:r>
      <w:r w:rsidRPr="00433FB9">
        <w:tab/>
      </w:r>
      <w:r w:rsidRPr="00433FB9">
        <w:fldChar w:fldCharType="begin"/>
      </w:r>
      <w:r w:rsidRPr="00433FB9">
        <w:instrText xml:space="preserve"> PAGEREF _Toc88487691 \h </w:instrText>
      </w:r>
      <w:r w:rsidRPr="00433FB9">
        <w:fldChar w:fldCharType="separate"/>
      </w:r>
      <w:r w:rsidRPr="00433FB9">
        <w:t>13</w:t>
      </w:r>
      <w:r w:rsidRPr="00433FB9">
        <w:fldChar w:fldCharType="end"/>
      </w:r>
    </w:p>
    <w:p w14:paraId="564964C4" w14:textId="111C20C7" w:rsidR="002B5BA5" w:rsidRPr="00433FB9" w:rsidRDefault="0030269A" w:rsidP="00133159">
      <w:r w:rsidRPr="00433FB9">
        <w:rPr>
          <w:rFonts w:eastAsiaTheme="minorEastAsia" w:cstheme="minorHAnsi"/>
          <w:lang w:eastAsia="fr-FR"/>
        </w:rPr>
        <w:fldChar w:fldCharType="end"/>
      </w:r>
    </w:p>
    <w:p w14:paraId="58AB8D44" w14:textId="15E64D94" w:rsidR="00B66BD6" w:rsidRPr="00433FB9" w:rsidRDefault="00ED30D3" w:rsidP="00F81D07">
      <w:pPr>
        <w:pStyle w:val="Titre1"/>
      </w:pPr>
      <w:bookmarkStart w:id="0" w:name="_Toc88487679"/>
      <w:bookmarkStart w:id="1" w:name="_Toc19874231"/>
      <w:r w:rsidRPr="00433FB9">
        <w:t>Objectif</w:t>
      </w:r>
      <w:bookmarkEnd w:id="0"/>
      <w:bookmarkEnd w:id="1"/>
    </w:p>
    <w:p w14:paraId="48575048" w14:textId="74F8CF19" w:rsidR="002E18ED" w:rsidRPr="00433FB9" w:rsidRDefault="199E7C3A" w:rsidP="00133159">
      <w:r w:rsidRPr="00433FB9">
        <w:t xml:space="preserve">Ce MON décrit les procédures liées aux activités de suivi continu qui ont lieu après l’approbation initiale d’un projet de recherche par le comité d’éthique de la recherche (CER) et avant le prochain renouvellement </w:t>
      </w:r>
      <w:r w:rsidR="6648D92E" w:rsidRPr="00433FB9">
        <w:t xml:space="preserve">annuel </w:t>
      </w:r>
      <w:r w:rsidRPr="00433FB9">
        <w:t>de l’approbation éthique formellement prévu.</w:t>
      </w:r>
    </w:p>
    <w:p w14:paraId="58AFA72E" w14:textId="0660F0E4" w:rsidR="00756C58" w:rsidRPr="00433FB9" w:rsidRDefault="00ED30D3" w:rsidP="00133159">
      <w:pPr>
        <w:pStyle w:val="Titre1"/>
      </w:pPr>
      <w:bookmarkStart w:id="2" w:name="_Toc88487680"/>
      <w:bookmarkStart w:id="3" w:name="_Toc19874232"/>
      <w:r w:rsidRPr="00433FB9">
        <w:lastRenderedPageBreak/>
        <w:t>Portée</w:t>
      </w:r>
      <w:bookmarkEnd w:id="2"/>
      <w:bookmarkEnd w:id="3"/>
    </w:p>
    <w:p w14:paraId="65AD856C" w14:textId="00434E8A" w:rsidR="002E18ED" w:rsidRPr="00433FB9" w:rsidRDefault="199E7C3A" w:rsidP="00FB42D4">
      <w:r w:rsidRPr="00433FB9">
        <w:t xml:space="preserve">Ce MON concerne les CER qui évaluent des projets de recherche </w:t>
      </w:r>
      <w:r w:rsidR="1DE912EE" w:rsidRPr="00433FB9">
        <w:t>menés auprès de participants</w:t>
      </w:r>
      <w:r w:rsidRPr="00433FB9">
        <w:t xml:space="preserve"> humains conformément aux règlements et</w:t>
      </w:r>
      <w:r w:rsidR="1DE912EE" w:rsidRPr="00433FB9">
        <w:t xml:space="preserve"> aux</w:t>
      </w:r>
      <w:r w:rsidRPr="00433FB9">
        <w:t xml:space="preserve"> lignes directrices applicables.</w:t>
      </w:r>
    </w:p>
    <w:p w14:paraId="4CE467C9" w14:textId="5B461F66" w:rsidR="00756C58" w:rsidRPr="00433FB9" w:rsidRDefault="002E18ED" w:rsidP="00133159">
      <w:pPr>
        <w:pStyle w:val="Titre1"/>
      </w:pPr>
      <w:bookmarkStart w:id="4" w:name="_Toc88487681"/>
      <w:bookmarkStart w:id="5" w:name="_Toc19874233"/>
      <w:r w:rsidRPr="00433FB9">
        <w:t>R</w:t>
      </w:r>
      <w:r w:rsidR="00756C58" w:rsidRPr="00433FB9">
        <w:t>espons</w:t>
      </w:r>
      <w:r w:rsidR="00ED30D3" w:rsidRPr="00433FB9">
        <w:t>a</w:t>
      </w:r>
      <w:r w:rsidR="00756C58" w:rsidRPr="00433FB9">
        <w:t>bilit</w:t>
      </w:r>
      <w:r w:rsidR="00ED30D3" w:rsidRPr="00433FB9">
        <w:t>é</w:t>
      </w:r>
      <w:r w:rsidR="00756C58" w:rsidRPr="00433FB9">
        <w:t>s</w:t>
      </w:r>
      <w:bookmarkEnd w:id="4"/>
      <w:bookmarkEnd w:id="5"/>
    </w:p>
    <w:p w14:paraId="295AE49B" w14:textId="11DD2A2E" w:rsidR="00F3200B" w:rsidRPr="00433FB9" w:rsidRDefault="1DE912EE" w:rsidP="00F3200B">
      <w:r w:rsidRPr="00433FB9">
        <w:t>Tous</w:t>
      </w:r>
      <w:r w:rsidR="199E7C3A" w:rsidRPr="00433FB9">
        <w:t xml:space="preserve"> les membres du CER, </w:t>
      </w:r>
      <w:r w:rsidRPr="00433FB9">
        <w:t xml:space="preserve">tout </w:t>
      </w:r>
      <w:r w:rsidR="199E7C3A" w:rsidRPr="00433FB9">
        <w:t xml:space="preserve">le personnel de soutien </w:t>
      </w:r>
      <w:r w:rsidR="6648D92E" w:rsidRPr="00433FB9">
        <w:t xml:space="preserve">désigné </w:t>
      </w:r>
      <w:r w:rsidRPr="00433FB9">
        <w:t>du</w:t>
      </w:r>
      <w:r w:rsidR="199E7C3A" w:rsidRPr="00433FB9">
        <w:t xml:space="preserve"> CER </w:t>
      </w:r>
      <w:r w:rsidRPr="00433FB9">
        <w:t>et tous</w:t>
      </w:r>
      <w:r w:rsidR="199E7C3A" w:rsidRPr="00433FB9">
        <w:t xml:space="preserve"> les chercheurs </w:t>
      </w:r>
      <w:r w:rsidRPr="00433FB9">
        <w:t>sont responsables de</w:t>
      </w:r>
      <w:r w:rsidR="199E7C3A" w:rsidRPr="00433FB9">
        <w:t xml:space="preserve"> s’assurer que les exigences de ce MON sont satisfaites.</w:t>
      </w:r>
    </w:p>
    <w:p w14:paraId="1F00C442" w14:textId="147E9123" w:rsidR="00F3200B" w:rsidRPr="00433FB9" w:rsidRDefault="199E7C3A" w:rsidP="00F3200B">
      <w:r w:rsidRPr="00433FB9">
        <w:t xml:space="preserve">Le chercheur </w:t>
      </w:r>
      <w:r w:rsidR="1DE912EE" w:rsidRPr="00433FB9">
        <w:t xml:space="preserve">est responsable </w:t>
      </w:r>
      <w:r w:rsidR="1B951279" w:rsidRPr="00433FB9">
        <w:t>de</w:t>
      </w:r>
      <w:r w:rsidRPr="00433FB9">
        <w:t xml:space="preserve"> faire part au CER de </w:t>
      </w:r>
      <w:r w:rsidRPr="00433FB9">
        <w:rPr>
          <w:i/>
          <w:iCs/>
        </w:rPr>
        <w:t>toute</w:t>
      </w:r>
      <w:r w:rsidRPr="00433FB9">
        <w:t xml:space="preserve"> </w:t>
      </w:r>
      <w:r w:rsidRPr="00433FB9">
        <w:rPr>
          <w:i/>
          <w:iCs/>
        </w:rPr>
        <w:t>nouvelle information</w:t>
      </w:r>
      <w:r w:rsidRPr="00433FB9">
        <w:t xml:space="preserve"> générée au cours de la réalisation du projet de recherche qui pourrait avoir un impact sur les droits, la sécurité et le bien-être des participants à la recherche, y compris les événements à déclarer répondant aux critères de déclaration détaillés dans ce MON.</w:t>
      </w:r>
    </w:p>
    <w:p w14:paraId="7B75E96C" w14:textId="5661B95D" w:rsidR="00F3200B" w:rsidRPr="00433FB9" w:rsidRDefault="199E7C3A" w:rsidP="00F3200B">
      <w:r w:rsidRPr="00433FB9">
        <w:t xml:space="preserve">Le chercheur </w:t>
      </w:r>
      <w:r w:rsidR="1DE912EE" w:rsidRPr="00433FB9">
        <w:t>est responsable de</w:t>
      </w:r>
      <w:r w:rsidRPr="00433FB9">
        <w:t xml:space="preserve"> faire part au CER de </w:t>
      </w:r>
      <w:r w:rsidRPr="00433FB9">
        <w:rPr>
          <w:i/>
          <w:iCs/>
        </w:rPr>
        <w:t>toute</w:t>
      </w:r>
      <w:r w:rsidRPr="00433FB9">
        <w:t xml:space="preserve"> </w:t>
      </w:r>
      <w:r w:rsidRPr="00433FB9">
        <w:rPr>
          <w:i/>
          <w:iCs/>
        </w:rPr>
        <w:t xml:space="preserve">information concernant le déroulement du projet de recherche </w:t>
      </w:r>
      <w:r w:rsidRPr="00433FB9">
        <w:t>qui pourrait avoir un impact sur les droits, la sécurité et le bien-être des participants à la recherche, y compris toute information relative à une non-conformité grave ou persistante.</w:t>
      </w:r>
    </w:p>
    <w:p w14:paraId="7588BF14" w14:textId="1F668863" w:rsidR="00F3200B" w:rsidRPr="00433FB9" w:rsidRDefault="199E7C3A" w:rsidP="00F3200B">
      <w:r w:rsidRPr="00433FB9">
        <w:t>Lorsque des mesures sont prises par le CER pour protéger les droits, la sécurité et le bien-être des participants (ex.</w:t>
      </w:r>
      <w:r w:rsidR="34AD9801" w:rsidRPr="00433FB9">
        <w:t> :</w:t>
      </w:r>
      <w:r w:rsidRPr="00433FB9">
        <w:t xml:space="preserve"> en cas de problème imprévu comportant des risques pour les participants ou d’autres personnes), le CER </w:t>
      </w:r>
      <w:r w:rsidR="1DE912EE" w:rsidRPr="00433FB9">
        <w:t>est responsable de</w:t>
      </w:r>
      <w:r w:rsidRPr="00433FB9">
        <w:t xml:space="preserve"> communiquer la décision au chercheur et, à la discrétion du comité, aux représentants pertinents de l’établissement. Le CER </w:t>
      </w:r>
      <w:r w:rsidR="1DE912EE" w:rsidRPr="00433FB9">
        <w:t>a</w:t>
      </w:r>
      <w:r w:rsidRPr="00433FB9">
        <w:t xml:space="preserve"> aussi </w:t>
      </w:r>
      <w:r w:rsidR="1DE912EE" w:rsidRPr="00433FB9">
        <w:t>le pouvoir d’aviser</w:t>
      </w:r>
      <w:r w:rsidRPr="00433FB9">
        <w:t xml:space="preserve"> le promoteur et/ou les organismes réglementaires concernés de tout événement ou toute circonstance exceptionnelle répondant aux </w:t>
      </w:r>
      <w:r w:rsidR="7CA1519A" w:rsidRPr="00433FB9">
        <w:t>critères</w:t>
      </w:r>
      <w:r w:rsidRPr="00433FB9">
        <w:t xml:space="preserve"> de déclaration. Le CER peut déléguer à l’établissement la responsabilité d’effectuer la déclaration aux organismes réglementaires.</w:t>
      </w:r>
    </w:p>
    <w:p w14:paraId="1A17635F" w14:textId="3557A321" w:rsidR="00F3200B" w:rsidRPr="00433FB9" w:rsidRDefault="199E7C3A" w:rsidP="00F3200B">
      <w:r w:rsidRPr="00433FB9">
        <w:t xml:space="preserve">Le président du CER ou son délégué </w:t>
      </w:r>
      <w:r w:rsidR="1DE912EE" w:rsidRPr="00433FB9">
        <w:t>est responsable d’examiner</w:t>
      </w:r>
      <w:r w:rsidRPr="00433FB9">
        <w:t xml:space="preserve"> tous les événements à déclarer soumis au CER, de même que toute modification qu’on propose d’apporter au projet de recherche. Le président du CER ou son délégué détermine le type d’évaluation requise (c’est-à-dire évaluation déléguée ou en comité plénier) ou les mesures devant être prises. Le CER ne peut donner son approbation avant de s’être assuré que les critères d’approbation ont été satisfaits.</w:t>
      </w:r>
    </w:p>
    <w:p w14:paraId="716E64E8" w14:textId="3F9D8990" w:rsidR="002E18ED" w:rsidRPr="00433FB9" w:rsidRDefault="199E7C3A" w:rsidP="00F3200B">
      <w:r w:rsidRPr="00433FB9">
        <w:t xml:space="preserve">Les membres du CER </w:t>
      </w:r>
      <w:r w:rsidR="1DE912EE" w:rsidRPr="00433FB9">
        <w:t>sont responsables d’examiner</w:t>
      </w:r>
      <w:r w:rsidRPr="00433FB9">
        <w:t xml:space="preserve"> toute nouvelle information, tout événement à déclarer ou toute modification</w:t>
      </w:r>
      <w:r w:rsidR="1DE912EE" w:rsidRPr="00433FB9">
        <w:t xml:space="preserve"> proposée</w:t>
      </w:r>
      <w:r w:rsidRPr="00433FB9">
        <w:t xml:space="preserve"> qui leur ont été assignés ou qui ont été assignés à une réunion plénière du comité. Ces mêmes membres </w:t>
      </w:r>
      <w:r w:rsidR="2237A65D" w:rsidRPr="00433FB9">
        <w:t>sont</w:t>
      </w:r>
      <w:r w:rsidRPr="00433FB9">
        <w:t xml:space="preserve"> aussi</w:t>
      </w:r>
      <w:r w:rsidR="2237A65D" w:rsidRPr="00433FB9">
        <w:t xml:space="preserve"> responsables </w:t>
      </w:r>
      <w:r w:rsidR="1DE912EE" w:rsidRPr="00433FB9">
        <w:t>de</w:t>
      </w:r>
      <w:r w:rsidRPr="00433FB9">
        <w:t xml:space="preserve"> recommander les mesures appropriées à prendre, le cas échéant.</w:t>
      </w:r>
    </w:p>
    <w:p w14:paraId="3321FEC9" w14:textId="34E5AB84" w:rsidR="00756C58" w:rsidRPr="00433FB9" w:rsidRDefault="002E18ED" w:rsidP="00133159">
      <w:pPr>
        <w:pStyle w:val="Titre1"/>
      </w:pPr>
      <w:bookmarkStart w:id="6" w:name="_Toc88487682"/>
      <w:bookmarkStart w:id="7" w:name="_Toc19874234"/>
      <w:r w:rsidRPr="00433FB9">
        <w:t>D</w:t>
      </w:r>
      <w:r w:rsidR="00ED30D3" w:rsidRPr="00433FB9">
        <w:t>é</w:t>
      </w:r>
      <w:r w:rsidR="00756C58" w:rsidRPr="00433FB9">
        <w:t>finitions</w:t>
      </w:r>
      <w:bookmarkEnd w:id="6"/>
      <w:bookmarkEnd w:id="7"/>
    </w:p>
    <w:p w14:paraId="3A382B14" w14:textId="6A8816D7" w:rsidR="002E18ED" w:rsidRPr="00433FB9" w:rsidRDefault="00F3200B" w:rsidP="00133159">
      <w:r w:rsidRPr="00433FB9">
        <w:t>Voir le glossaire.</w:t>
      </w:r>
    </w:p>
    <w:p w14:paraId="17D971BD" w14:textId="7775E055" w:rsidR="00756C58" w:rsidRPr="00433FB9" w:rsidRDefault="002E18ED" w:rsidP="00B97C03">
      <w:pPr>
        <w:pStyle w:val="Titre1"/>
      </w:pPr>
      <w:bookmarkStart w:id="8" w:name="_Toc88487683"/>
      <w:bookmarkStart w:id="9" w:name="_Toc19874235"/>
      <w:r w:rsidRPr="00433FB9">
        <w:lastRenderedPageBreak/>
        <w:t>P</w:t>
      </w:r>
      <w:r w:rsidR="00756C58" w:rsidRPr="00433FB9">
        <w:t>roc</w:t>
      </w:r>
      <w:r w:rsidR="00ED30D3" w:rsidRPr="00433FB9">
        <w:t>é</w:t>
      </w:r>
      <w:r w:rsidR="00756C58" w:rsidRPr="00433FB9">
        <w:t>dures</w:t>
      </w:r>
      <w:bookmarkEnd w:id="8"/>
      <w:bookmarkEnd w:id="9"/>
    </w:p>
    <w:p w14:paraId="4C7A9A28" w14:textId="79A59A52" w:rsidR="00F3200B" w:rsidRPr="00433FB9" w:rsidRDefault="199E7C3A" w:rsidP="5871B364">
      <w:pPr>
        <w:keepNext/>
        <w:keepLines/>
      </w:pPr>
      <w:r w:rsidRPr="00433FB9">
        <w:t>En plus du renouvellement</w:t>
      </w:r>
      <w:r w:rsidR="7D96018C" w:rsidRPr="00433FB9">
        <w:t xml:space="preserve"> annuel</w:t>
      </w:r>
      <w:r w:rsidRPr="00433FB9">
        <w:t xml:space="preserve"> de l’approbation éthique formellement prévu, le CER doit recevoir et évaluer toute nouvelle information générée au cours de la réalisation du projet de recherche, qui pourrait avoir un impact sur les droits, la sécurité et/ou le bien-être des participants à la recherche et/ou pour laquelle il est possible de prendre une mesure préventive ou corrective.</w:t>
      </w:r>
    </w:p>
    <w:p w14:paraId="1678CC06" w14:textId="3C5A0828" w:rsidR="00F3200B" w:rsidRPr="00433FB9" w:rsidRDefault="00F3200B" w:rsidP="00F3200B">
      <w:r w:rsidRPr="00433FB9">
        <w:t>De telles informations peuvent inclure</w:t>
      </w:r>
      <w:r w:rsidR="00B130E6" w:rsidRPr="00433FB9">
        <w:t> :</w:t>
      </w:r>
      <w:r w:rsidRPr="00433FB9">
        <w:t xml:space="preserve"> des modifications, des événements à déclarer, des rapports pertinents ou toute nouvelle information pouvant influer sur la sécurité et le bien-être des participants à la recherche ou sur la conduite du projet de recherche.</w:t>
      </w:r>
    </w:p>
    <w:p w14:paraId="0BED207A" w14:textId="495A8799" w:rsidR="002E18ED" w:rsidRPr="00433FB9" w:rsidRDefault="199E7C3A" w:rsidP="00F3200B">
      <w:r w:rsidRPr="00433FB9">
        <w:t xml:space="preserve">À </w:t>
      </w:r>
      <w:r w:rsidR="3987D94B" w:rsidRPr="00433FB9">
        <w:t>l'exception</w:t>
      </w:r>
      <w:r w:rsidRPr="00433FB9">
        <w:t xml:space="preserve"> des cas où cela est nécessaire pour éliminer les dangers apparents immédiats pour les participants, toute modification doit faire l’objet d’une approbation du CER avant d’être mise en place. Si des changements sont apportés pour éliminer les dangers immédiats, le chercheur doit immédiatement en aviser le CER.</w:t>
      </w:r>
    </w:p>
    <w:p w14:paraId="487C4FA6" w14:textId="765C2B2C" w:rsidR="00F3200B" w:rsidRPr="00433FB9" w:rsidRDefault="00F3200B" w:rsidP="00F3200B">
      <w:pPr>
        <w:rPr>
          <w:b/>
          <w:bCs/>
        </w:rPr>
      </w:pPr>
      <w:r w:rsidRPr="00433FB9">
        <w:rPr>
          <w:b/>
          <w:bCs/>
        </w:rPr>
        <w:t>Projet de recherche multicentrique au Québec</w:t>
      </w:r>
      <w:r w:rsidR="00B97C03" w:rsidRPr="00433FB9">
        <w:rPr>
          <w:rStyle w:val="Appelnotedebasdep"/>
          <w:b/>
          <w:bCs/>
        </w:rPr>
        <w:footnoteReference w:id="2"/>
      </w:r>
    </w:p>
    <w:p w14:paraId="64086234" w14:textId="7376520C" w:rsidR="00F3200B" w:rsidRPr="00433FB9" w:rsidRDefault="199E7C3A" w:rsidP="00F3200B">
      <w:pPr>
        <w:pStyle w:val="SOPBulletA"/>
      </w:pPr>
      <w:r w:rsidRPr="00433FB9">
        <w:t xml:space="preserve">Le CER appliquera le présent MON lorsqu’il agira à titre de CER évaluateur pour les projets de recherche multicentriques au sein du </w:t>
      </w:r>
      <w:r w:rsidR="424EBB63" w:rsidRPr="00433FB9">
        <w:t>R</w:t>
      </w:r>
      <w:r w:rsidR="658931D6" w:rsidRPr="00433FB9">
        <w:t>éseau</w:t>
      </w:r>
      <w:r w:rsidRPr="00433FB9">
        <w:t xml:space="preserve"> québécois de la santé et des services sociaux (RSSS).</w:t>
      </w:r>
    </w:p>
    <w:p w14:paraId="30AC48FF" w14:textId="77777777" w:rsidR="00F3200B" w:rsidRPr="00433FB9" w:rsidRDefault="00F3200B" w:rsidP="00F3200B">
      <w:pPr>
        <w:pStyle w:val="SOPBulletA"/>
      </w:pPr>
      <w:r w:rsidRPr="00433FB9">
        <w:t>Dans le cas d’une étude multicentrique menée par différents chercheurs de divers établissements participants avec le même promoteur, chaque chercheur est responsable de déposer les événements à déclarer au CER évaluateur. Le chercheur local doit effectuer la soumission conformément au présent MON.</w:t>
      </w:r>
    </w:p>
    <w:p w14:paraId="5C792BE3" w14:textId="77777777" w:rsidR="00F3200B" w:rsidRPr="00433FB9" w:rsidRDefault="00F3200B" w:rsidP="00F3200B">
      <w:pPr>
        <w:pStyle w:val="SOPBulletA"/>
      </w:pPr>
      <w:r w:rsidRPr="00433FB9">
        <w:t>Si les chercheurs estiment que l’événement à déclarer requiert une intervention de l’établissement afin d’assurer la sécurité et le bien-être des participants au niveau local, ils peuvent décider d’en informer la personne formellement mandatée.</w:t>
      </w:r>
    </w:p>
    <w:p w14:paraId="2F9587B8" w14:textId="77777777" w:rsidR="00F3200B" w:rsidRPr="00433FB9" w:rsidRDefault="00F3200B" w:rsidP="00F3200B">
      <w:pPr>
        <w:pStyle w:val="SOPBulletA"/>
      </w:pPr>
      <w:r w:rsidRPr="00433FB9">
        <w:t>Un chercheur du RSSS qui soumet une modification pour approbation par le CER évaluateur doit faire parvenir les documents révisés approuvés, accompagnés d’une copie du document original sur lequel les changements approuvés ont été surlignés, à la personne formellement mandatée dans chaque établissement public où la recherche est menée.</w:t>
      </w:r>
    </w:p>
    <w:p w14:paraId="16847909" w14:textId="484B8F29" w:rsidR="00F3200B" w:rsidRPr="00433FB9" w:rsidRDefault="199E7C3A" w:rsidP="00F3200B">
      <w:pPr>
        <w:pStyle w:val="SOPBulletA"/>
      </w:pPr>
      <w:r w:rsidRPr="00433FB9">
        <w:t>Pour les projets de recherche multicentriques menés au Québec au sein du RSSS, tous les sites</w:t>
      </w:r>
      <w:r w:rsidR="1DD52ED1" w:rsidRPr="00433FB9">
        <w:t> </w:t>
      </w:r>
      <w:r w:rsidRPr="00433FB9">
        <w:t>participants visés par l’approbation du CER évaluateur seront considérés comme locaux.</w:t>
      </w:r>
    </w:p>
    <w:p w14:paraId="732403EA" w14:textId="77777777" w:rsidR="00F3200B" w:rsidRPr="00433FB9" w:rsidRDefault="00F3200B" w:rsidP="00F3200B">
      <w:pPr>
        <w:pStyle w:val="SOPBulletA"/>
      </w:pPr>
      <w:r w:rsidRPr="00433FB9">
        <w:t>Toute demande de conversion de projet de recherche en projet multicentrique ou d’ajout de site doit se faire via la plateforme en ligne Nagano, en utilisant le formulaire approprié.</w:t>
      </w:r>
    </w:p>
    <w:p w14:paraId="47B72A4F" w14:textId="77777777" w:rsidR="00F3200B" w:rsidRPr="00433FB9" w:rsidRDefault="00F3200B" w:rsidP="006C3E08">
      <w:pPr>
        <w:pStyle w:val="Titre2"/>
        <w:rPr>
          <w:lang w:val="fr-CA"/>
        </w:rPr>
      </w:pPr>
      <w:bookmarkStart w:id="10" w:name="_Toc88487684"/>
      <w:bookmarkStart w:id="11" w:name="_Toc19874236"/>
      <w:r w:rsidRPr="00433FB9">
        <w:rPr>
          <w:lang w:val="fr-CA"/>
        </w:rPr>
        <w:t>Modifications à un projet de recherche approuvé</w:t>
      </w:r>
      <w:bookmarkEnd w:id="10"/>
      <w:bookmarkEnd w:id="11"/>
    </w:p>
    <w:p w14:paraId="58DEEDBE" w14:textId="01AD5861" w:rsidR="00F3200B" w:rsidRPr="00420782" w:rsidRDefault="199E7C3A" w:rsidP="00420782">
      <w:pPr>
        <w:pStyle w:val="Titre3"/>
        <w:rPr>
          <w:lang w:val="fr-CA"/>
        </w:rPr>
      </w:pPr>
      <w:r w:rsidRPr="00420782">
        <w:rPr>
          <w:lang w:val="fr-CA"/>
        </w:rPr>
        <w:t xml:space="preserve">Le chercheur </w:t>
      </w:r>
      <w:r w:rsidR="1DE912EE" w:rsidRPr="00420782">
        <w:rPr>
          <w:lang w:val="fr-CA"/>
        </w:rPr>
        <w:t>est responsable de</w:t>
      </w:r>
      <w:r w:rsidRPr="00420782">
        <w:rPr>
          <w:lang w:val="fr-CA"/>
        </w:rPr>
        <w:t xml:space="preserve"> soumettre au CER tout changement à apporter à un projet de recherche approuvé. Les changements à apporter peuvent inclure, par exemple, des modifications au protocole de recherche, au formulaire d’information et de consentement, à la brochure de l’investigateur, à une </w:t>
      </w:r>
      <w:r w:rsidRPr="00420782">
        <w:rPr>
          <w:lang w:val="fr-CA"/>
        </w:rPr>
        <w:lastRenderedPageBreak/>
        <w:t>monographie de produit, au matériel destiné aux participants (ex.</w:t>
      </w:r>
      <w:r w:rsidR="34AD9801" w:rsidRPr="00420782">
        <w:rPr>
          <w:lang w:val="fr-CA"/>
        </w:rPr>
        <w:t> :</w:t>
      </w:r>
      <w:r w:rsidRPr="00420782">
        <w:rPr>
          <w:lang w:val="fr-CA"/>
        </w:rPr>
        <w:t xml:space="preserve"> cartes-portefeuilles, journal à compléter, matériel de recrutement), un changement de chercheur, etc.</w:t>
      </w:r>
    </w:p>
    <w:p w14:paraId="7B537214" w14:textId="77777777" w:rsidR="00F3200B" w:rsidRPr="00433FB9" w:rsidRDefault="199E7C3A" w:rsidP="00F3200B">
      <w:pPr>
        <w:pStyle w:val="Titre3"/>
        <w:rPr>
          <w:lang w:val="fr-CA"/>
        </w:rPr>
      </w:pPr>
      <w:r w:rsidRPr="00433FB9">
        <w:rPr>
          <w:lang w:val="fr-CA"/>
        </w:rPr>
        <w:t>Lorsque la modification fait suite à une notification de sécurité ou de mesure à appliquer de la part du promoteur, ce document doit être annexé à la demande de modification.</w:t>
      </w:r>
    </w:p>
    <w:p w14:paraId="4B4C6439" w14:textId="4EEBF72C" w:rsidR="00F3200B" w:rsidRPr="00433FB9" w:rsidRDefault="199E7C3A" w:rsidP="00F3200B">
      <w:pPr>
        <w:pStyle w:val="Titre3"/>
        <w:rPr>
          <w:lang w:val="fr-CA"/>
        </w:rPr>
      </w:pPr>
      <w:r w:rsidRPr="00433FB9">
        <w:rPr>
          <w:lang w:val="fr-CA"/>
        </w:rPr>
        <w:t xml:space="preserve">Lorsque les modifications comprennent un changement à apporter au formulaire d’information et de consentement, le chercheur doit indiquer ce qu’il recommande comme mesure pour la transmission de la nouvelle information aux participants </w:t>
      </w:r>
      <w:r w:rsidR="4BDD572A" w:rsidRPr="00433FB9">
        <w:rPr>
          <w:lang w:val="fr-CA"/>
        </w:rPr>
        <w:t>à la</w:t>
      </w:r>
      <w:r w:rsidR="1DE912EE" w:rsidRPr="00433FB9">
        <w:rPr>
          <w:lang w:val="fr-CA"/>
        </w:rPr>
        <w:t xml:space="preserve"> recherche</w:t>
      </w:r>
      <w:r w:rsidRPr="00433FB9">
        <w:rPr>
          <w:lang w:val="fr-CA"/>
        </w:rPr>
        <w:t xml:space="preserve"> dont la participation est</w:t>
      </w:r>
      <w:r w:rsidR="1E4AD1EF" w:rsidRPr="00433FB9">
        <w:rPr>
          <w:lang w:val="fr-CA"/>
        </w:rPr>
        <w:t xml:space="preserve"> en cours ou</w:t>
      </w:r>
      <w:r w:rsidRPr="00433FB9">
        <w:rPr>
          <w:lang w:val="fr-CA"/>
        </w:rPr>
        <w:t xml:space="preserve"> terminée</w:t>
      </w:r>
      <w:r w:rsidR="00B130E6" w:rsidRPr="00433FB9">
        <w:rPr>
          <w:rStyle w:val="Appelnotedebasdep"/>
          <w:lang w:val="fr-CA"/>
        </w:rPr>
        <w:footnoteReference w:id="3"/>
      </w:r>
      <w:r w:rsidRPr="00433FB9">
        <w:rPr>
          <w:lang w:val="fr-CA"/>
        </w:rPr>
        <w:t>.</w:t>
      </w:r>
    </w:p>
    <w:p w14:paraId="4CADBB65" w14:textId="0BE9FAA1" w:rsidR="00F3200B" w:rsidRPr="00433FB9" w:rsidRDefault="199E7C3A" w:rsidP="00F3200B">
      <w:pPr>
        <w:pStyle w:val="Titre3"/>
        <w:rPr>
          <w:lang w:val="fr-CA"/>
        </w:rPr>
      </w:pPr>
      <w:r w:rsidRPr="00433FB9">
        <w:rPr>
          <w:lang w:val="fr-CA"/>
        </w:rPr>
        <w:t xml:space="preserve">Le président du CER ou son délégué effectue une évaluation préliminaire de la modification afin de déterminer le niveau approprié d’évaluation à mener par le CER (c.-à-d. évaluation déléguée ou en comité plénier) conformément au MON Évaluation déléguée du CER. Si le changement proposé représente plus qu’un risque minimal, il doit faire l’objet d’une évaluation par le CER en comité plénier. </w:t>
      </w:r>
      <w:r w:rsidR="1DE912EE" w:rsidRPr="00433FB9">
        <w:rPr>
          <w:lang w:val="fr-CA"/>
        </w:rPr>
        <w:t>Voici des</w:t>
      </w:r>
      <w:r w:rsidRPr="00433FB9">
        <w:rPr>
          <w:lang w:val="fr-CA"/>
        </w:rPr>
        <w:t xml:space="preserve"> modifications </w:t>
      </w:r>
      <w:r w:rsidR="1DE912EE" w:rsidRPr="00433FB9">
        <w:rPr>
          <w:lang w:val="fr-CA"/>
        </w:rPr>
        <w:t>pouvant</w:t>
      </w:r>
      <w:r w:rsidRPr="00433FB9">
        <w:rPr>
          <w:lang w:val="fr-CA"/>
        </w:rPr>
        <w:t xml:space="preserve"> être classées dans la catégorie des risques plus que minimaux</w:t>
      </w:r>
      <w:r w:rsidR="34AD9801" w:rsidRPr="00433FB9">
        <w:rPr>
          <w:lang w:val="fr-CA"/>
        </w:rPr>
        <w:t> :</w:t>
      </w:r>
    </w:p>
    <w:p w14:paraId="3FFADF9E" w14:textId="45B75BE7" w:rsidR="00F3200B" w:rsidRPr="00433FB9" w:rsidRDefault="199E7C3A" w:rsidP="002278B7">
      <w:pPr>
        <w:pStyle w:val="SOPBulletC"/>
        <w:numPr>
          <w:ilvl w:val="0"/>
          <w:numId w:val="52"/>
        </w:numPr>
        <w:ind w:left="1276" w:hanging="425"/>
      </w:pPr>
      <w:r w:rsidRPr="00433FB9">
        <w:t>L’ajout de</w:t>
      </w:r>
      <w:r w:rsidR="1DE912EE" w:rsidRPr="00433FB9">
        <w:t xml:space="preserve"> tests génétiques, </w:t>
      </w:r>
      <w:r w:rsidR="04B942AB" w:rsidRPr="00433FB9">
        <w:t xml:space="preserve">de </w:t>
      </w:r>
      <w:r w:rsidR="1DE912EE" w:rsidRPr="00433FB9">
        <w:t>nouveaux</w:t>
      </w:r>
      <w:r w:rsidRPr="00433FB9">
        <w:t xml:space="preserve"> tests génétiques ou la mise en banque de tissu pouvant faire l’objet de tests génétiques;</w:t>
      </w:r>
    </w:p>
    <w:p w14:paraId="166186A5" w14:textId="77777777" w:rsidR="00F3200B" w:rsidRPr="00433FB9" w:rsidRDefault="00F3200B" w:rsidP="002278B7">
      <w:pPr>
        <w:pStyle w:val="SOPBulletC"/>
        <w:numPr>
          <w:ilvl w:val="0"/>
          <w:numId w:val="52"/>
        </w:numPr>
        <w:ind w:left="1276" w:hanging="425"/>
      </w:pPr>
      <w:r w:rsidRPr="00433FB9">
        <w:t>L’ajout d’une phase ouverte de prolongation à la suite d’un essai clinique randomisé;</w:t>
      </w:r>
    </w:p>
    <w:p w14:paraId="36771E0A" w14:textId="6D9CB7C5" w:rsidR="00F3200B" w:rsidRPr="00433FB9" w:rsidRDefault="00F3200B" w:rsidP="002278B7">
      <w:pPr>
        <w:pStyle w:val="SOPBulletC"/>
        <w:numPr>
          <w:ilvl w:val="0"/>
          <w:numId w:val="52"/>
        </w:numPr>
        <w:ind w:left="1276" w:hanging="425"/>
      </w:pPr>
      <w:r w:rsidRPr="00433FB9">
        <w:t>Des modifications d’urgence motivées par la sécurité des participants, y compris sans toutefois s’y limiter</w:t>
      </w:r>
      <w:r w:rsidR="00B130E6" w:rsidRPr="00433FB9">
        <w:t> :</w:t>
      </w:r>
    </w:p>
    <w:p w14:paraId="12C84505" w14:textId="77777777" w:rsidR="00F3200B" w:rsidRPr="00433FB9" w:rsidRDefault="00F3200B" w:rsidP="00F3200B">
      <w:pPr>
        <w:pStyle w:val="SOPBulletD"/>
      </w:pPr>
      <w:r w:rsidRPr="00433FB9">
        <w:t>Un changement dans le recrutement pouvant impacter la confidentialité ou créer une apparence de coercition;</w:t>
      </w:r>
    </w:p>
    <w:p w14:paraId="280C8D0F" w14:textId="77777777" w:rsidR="00F3200B" w:rsidRPr="00433FB9" w:rsidRDefault="00F3200B" w:rsidP="00F3200B">
      <w:pPr>
        <w:pStyle w:val="SOPBulletD"/>
      </w:pPr>
      <w:r w:rsidRPr="00433FB9">
        <w:t>Des changements dans les procédures expérimentales ou à la population ciblée par le projet de recherche.</w:t>
      </w:r>
    </w:p>
    <w:p w14:paraId="048C53CA" w14:textId="2095BD38" w:rsidR="00F3200B" w:rsidRPr="00433FB9" w:rsidRDefault="199E7C3A" w:rsidP="00F3200B">
      <w:pPr>
        <w:pStyle w:val="Titre3"/>
        <w:rPr>
          <w:lang w:val="fr-CA"/>
        </w:rPr>
      </w:pPr>
      <w:r w:rsidRPr="00433FB9">
        <w:rPr>
          <w:lang w:val="fr-CA"/>
        </w:rPr>
        <w:t xml:space="preserve">Dans les cas de modifications qui nécessitent une évaluation en comité plénier, le personnel de soutien </w:t>
      </w:r>
      <w:r w:rsidR="7372AE75" w:rsidRPr="00433FB9">
        <w:rPr>
          <w:lang w:val="fr-CA"/>
        </w:rPr>
        <w:t xml:space="preserve">désigné </w:t>
      </w:r>
      <w:r w:rsidR="1DE912EE" w:rsidRPr="00433FB9">
        <w:rPr>
          <w:lang w:val="fr-CA"/>
        </w:rPr>
        <w:t>du</w:t>
      </w:r>
      <w:r w:rsidR="0AB33306" w:rsidRPr="00433FB9">
        <w:rPr>
          <w:lang w:val="fr-CA"/>
        </w:rPr>
        <w:t xml:space="preserve"> CER </w:t>
      </w:r>
      <w:r w:rsidRPr="00433FB9">
        <w:rPr>
          <w:lang w:val="fr-CA"/>
        </w:rPr>
        <w:t xml:space="preserve">met la modification à l’ordre du jour </w:t>
      </w:r>
      <w:r w:rsidR="1DE912EE" w:rsidRPr="00433FB9">
        <w:rPr>
          <w:lang w:val="fr-CA"/>
        </w:rPr>
        <w:t>de la</w:t>
      </w:r>
      <w:r w:rsidRPr="00433FB9">
        <w:rPr>
          <w:lang w:val="fr-CA"/>
        </w:rPr>
        <w:t xml:space="preserve"> prochaine réunion plénière du comité</w:t>
      </w:r>
      <w:r w:rsidR="48AC8499" w:rsidRPr="00433FB9">
        <w:rPr>
          <w:lang w:val="fr-CA"/>
        </w:rPr>
        <w:t xml:space="preserve"> qui est disponible</w:t>
      </w:r>
      <w:r w:rsidRPr="00433FB9">
        <w:rPr>
          <w:lang w:val="fr-CA"/>
        </w:rPr>
        <w:t xml:space="preserve">. Dans les cas de modifications qui satisfont aux critères d’évaluation déléguée, le personnel de soutien </w:t>
      </w:r>
      <w:r w:rsidR="7372AE75" w:rsidRPr="00433FB9">
        <w:rPr>
          <w:lang w:val="fr-CA"/>
        </w:rPr>
        <w:t xml:space="preserve">désigné </w:t>
      </w:r>
      <w:r w:rsidR="1DE912EE" w:rsidRPr="00433FB9">
        <w:rPr>
          <w:lang w:val="fr-CA"/>
        </w:rPr>
        <w:t>du</w:t>
      </w:r>
      <w:r w:rsidR="0AB33306" w:rsidRPr="00433FB9">
        <w:rPr>
          <w:lang w:val="fr-CA"/>
        </w:rPr>
        <w:t xml:space="preserve"> CER </w:t>
      </w:r>
      <w:r w:rsidRPr="00433FB9">
        <w:rPr>
          <w:lang w:val="fr-CA"/>
        </w:rPr>
        <w:t>assignera la modification à/aux évaluateur(s) désigné(s).</w:t>
      </w:r>
    </w:p>
    <w:p w14:paraId="16772FF9" w14:textId="5B5AEF32" w:rsidR="00F3200B" w:rsidRPr="002278B7" w:rsidRDefault="199E7C3A" w:rsidP="002278B7">
      <w:pPr>
        <w:pStyle w:val="Titre3"/>
        <w:rPr>
          <w:lang w:val="fr-CA"/>
        </w:rPr>
      </w:pPr>
      <w:r w:rsidRPr="002278B7">
        <w:rPr>
          <w:lang w:val="fr-CA"/>
        </w:rPr>
        <w:t xml:space="preserve">Lorsque la modification implique </w:t>
      </w:r>
      <w:r w:rsidR="47F3B89F" w:rsidRPr="002278B7">
        <w:rPr>
          <w:lang w:val="fr-CA"/>
        </w:rPr>
        <w:t>un</w:t>
      </w:r>
      <w:r w:rsidRPr="002278B7">
        <w:rPr>
          <w:lang w:val="fr-CA"/>
        </w:rPr>
        <w:t xml:space="preserve"> formulaire d’information et de consentement</w:t>
      </w:r>
      <w:r w:rsidR="1DE912EE" w:rsidRPr="002278B7">
        <w:rPr>
          <w:lang w:val="fr-CA"/>
        </w:rPr>
        <w:t xml:space="preserve"> révisé</w:t>
      </w:r>
      <w:r w:rsidRPr="002278B7">
        <w:rPr>
          <w:lang w:val="fr-CA"/>
        </w:rPr>
        <w:t xml:space="preserve">, le CER prendra en considération les recommandations du chercheur pour déterminer </w:t>
      </w:r>
      <w:r w:rsidR="62BD429D" w:rsidRPr="002278B7">
        <w:rPr>
          <w:lang w:val="fr-CA"/>
        </w:rPr>
        <w:t xml:space="preserve">si </w:t>
      </w:r>
      <w:r w:rsidRPr="002278B7">
        <w:rPr>
          <w:lang w:val="fr-CA"/>
        </w:rPr>
        <w:t xml:space="preserve">cette nouvelle information doit être fournie </w:t>
      </w:r>
      <w:r w:rsidR="62BD429D" w:rsidRPr="002278B7">
        <w:rPr>
          <w:lang w:val="fr-CA"/>
        </w:rPr>
        <w:t xml:space="preserve">aux participants à la recherche </w:t>
      </w:r>
      <w:r w:rsidRPr="002278B7">
        <w:rPr>
          <w:lang w:val="fr-CA"/>
        </w:rPr>
        <w:t xml:space="preserve">et, dans </w:t>
      </w:r>
      <w:r w:rsidR="62BD429D" w:rsidRPr="002278B7">
        <w:rPr>
          <w:lang w:val="fr-CA"/>
        </w:rPr>
        <w:t>l’éventualité</w:t>
      </w:r>
      <w:r w:rsidRPr="002278B7">
        <w:rPr>
          <w:lang w:val="fr-CA"/>
        </w:rPr>
        <w:t xml:space="preserve">, la façon et le moment de le faire, incluant la nécessité ou non d’obtenir un </w:t>
      </w:r>
      <w:proofErr w:type="spellStart"/>
      <w:r w:rsidR="62BD429D" w:rsidRPr="002278B7">
        <w:rPr>
          <w:lang w:val="fr-CA"/>
        </w:rPr>
        <w:t>reconsentement</w:t>
      </w:r>
      <w:proofErr w:type="spellEnd"/>
      <w:r w:rsidRPr="002278B7">
        <w:rPr>
          <w:lang w:val="fr-CA"/>
        </w:rPr>
        <w:t>.</w:t>
      </w:r>
    </w:p>
    <w:p w14:paraId="757810C9" w14:textId="2F38033E" w:rsidR="00F3200B" w:rsidRPr="00433FB9" w:rsidRDefault="199E7C3A" w:rsidP="00F3200B">
      <w:pPr>
        <w:pStyle w:val="Titre3"/>
        <w:rPr>
          <w:lang w:val="fr-CA"/>
        </w:rPr>
      </w:pPr>
      <w:r w:rsidRPr="00433FB9">
        <w:rPr>
          <w:lang w:val="fr-CA"/>
        </w:rPr>
        <w:t xml:space="preserve">À </w:t>
      </w:r>
      <w:r w:rsidR="26C6B70D" w:rsidRPr="00433FB9">
        <w:rPr>
          <w:lang w:val="fr-CA"/>
        </w:rPr>
        <w:t>l'exception</w:t>
      </w:r>
      <w:r w:rsidRPr="00433FB9">
        <w:rPr>
          <w:lang w:val="fr-CA"/>
        </w:rPr>
        <w:t xml:space="preserve"> des cas où elle est nécessaire pour éliminer un danger immédiat pour les participants, toute modification au projet de recherche approuvé doit elle-même faire l’objet d’une approbation du CER avant d’être mise en place. </w:t>
      </w:r>
      <w:r w:rsidR="26C6B70D" w:rsidRPr="00433FB9">
        <w:rPr>
          <w:lang w:val="fr-CA"/>
        </w:rPr>
        <w:t>Si des</w:t>
      </w:r>
      <w:r w:rsidRPr="00433FB9">
        <w:rPr>
          <w:lang w:val="fr-CA"/>
        </w:rPr>
        <w:t xml:space="preserve"> changements </w:t>
      </w:r>
      <w:r w:rsidR="26C6B70D" w:rsidRPr="00433FB9">
        <w:rPr>
          <w:lang w:val="fr-CA"/>
        </w:rPr>
        <w:t xml:space="preserve">sont </w:t>
      </w:r>
      <w:r w:rsidRPr="00433FB9">
        <w:rPr>
          <w:lang w:val="fr-CA"/>
        </w:rPr>
        <w:t xml:space="preserve">apportés au projet de recherche en cours sans </w:t>
      </w:r>
      <w:r w:rsidRPr="00433FB9">
        <w:rPr>
          <w:lang w:val="fr-CA"/>
        </w:rPr>
        <w:lastRenderedPageBreak/>
        <w:t xml:space="preserve">évaluation préalable par le CER dans le but </w:t>
      </w:r>
      <w:r w:rsidR="26C6B70D" w:rsidRPr="00433FB9">
        <w:rPr>
          <w:lang w:val="fr-CA"/>
        </w:rPr>
        <w:t>d'éliminer</w:t>
      </w:r>
      <w:r w:rsidRPr="00433FB9">
        <w:rPr>
          <w:lang w:val="fr-CA"/>
        </w:rPr>
        <w:t xml:space="preserve"> un danger immédiat pour les participants à la recherche</w:t>
      </w:r>
      <w:r w:rsidR="62BD429D" w:rsidRPr="00433FB9">
        <w:rPr>
          <w:lang w:val="fr-CA"/>
        </w:rPr>
        <w:t>, ceux-ci</w:t>
      </w:r>
      <w:r w:rsidRPr="00433FB9">
        <w:rPr>
          <w:lang w:val="fr-CA"/>
        </w:rPr>
        <w:t xml:space="preserve"> doivent être immédiatement communiqués au CER par le chercheur.</w:t>
      </w:r>
    </w:p>
    <w:p w14:paraId="1A28EB1A" w14:textId="6700D305" w:rsidR="00F3200B" w:rsidRPr="00433FB9" w:rsidRDefault="199E7C3A" w:rsidP="00F3200B">
      <w:pPr>
        <w:pStyle w:val="Titre3"/>
        <w:rPr>
          <w:lang w:val="fr-CA"/>
        </w:rPr>
      </w:pPr>
      <w:r w:rsidRPr="00433FB9">
        <w:rPr>
          <w:lang w:val="fr-CA"/>
        </w:rPr>
        <w:t>Les modifications de nature administrative (ex.</w:t>
      </w:r>
      <w:r w:rsidR="34AD9801" w:rsidRPr="00433FB9">
        <w:rPr>
          <w:lang w:val="fr-CA"/>
        </w:rPr>
        <w:t> :</w:t>
      </w:r>
      <w:r w:rsidRPr="00433FB9">
        <w:rPr>
          <w:lang w:val="fr-CA"/>
        </w:rPr>
        <w:t xml:space="preserve"> changement </w:t>
      </w:r>
      <w:r w:rsidR="735684FA" w:rsidRPr="00433FB9">
        <w:rPr>
          <w:lang w:val="fr-CA"/>
        </w:rPr>
        <w:t>d'adresse</w:t>
      </w:r>
      <w:r w:rsidRPr="00433FB9">
        <w:rPr>
          <w:lang w:val="fr-CA"/>
        </w:rPr>
        <w:t xml:space="preserve"> ou au sein du personnel</w:t>
      </w:r>
      <w:r w:rsidR="4B46CD46" w:rsidRPr="00433FB9">
        <w:rPr>
          <w:lang w:val="fr-CA"/>
        </w:rPr>
        <w:t xml:space="preserve"> </w:t>
      </w:r>
      <w:r w:rsidR="5C2C27FA" w:rsidRPr="00433FB9">
        <w:rPr>
          <w:lang w:val="fr-CA"/>
        </w:rPr>
        <w:t>administratif</w:t>
      </w:r>
      <w:r w:rsidRPr="00433FB9">
        <w:rPr>
          <w:lang w:val="fr-CA"/>
        </w:rPr>
        <w:t xml:space="preserve"> de recherche) sans incidence sur les participants ou leur bien-être peuvent être soumises lors du renouvellement annuel du projet de recherche.</w:t>
      </w:r>
    </w:p>
    <w:p w14:paraId="2ED0167E" w14:textId="382BE661" w:rsidR="00F3200B" w:rsidRPr="00433FB9" w:rsidRDefault="199E7C3A" w:rsidP="00F3200B">
      <w:pPr>
        <w:pStyle w:val="Titre3"/>
        <w:rPr>
          <w:lang w:val="fr-CA"/>
        </w:rPr>
      </w:pPr>
      <w:r w:rsidRPr="00433FB9">
        <w:rPr>
          <w:lang w:val="fr-CA"/>
        </w:rPr>
        <w:t xml:space="preserve">Le CER doit s’assurer que les critères </w:t>
      </w:r>
      <w:r w:rsidR="735684FA" w:rsidRPr="00433FB9">
        <w:rPr>
          <w:lang w:val="fr-CA"/>
        </w:rPr>
        <w:t>d'approbation</w:t>
      </w:r>
      <w:r w:rsidRPr="00433FB9">
        <w:rPr>
          <w:lang w:val="fr-CA"/>
        </w:rPr>
        <w:t xml:space="preserve"> continuent d’être satisfaits pour approuver ladite modification. </w:t>
      </w:r>
      <w:r w:rsidR="055DD9A7" w:rsidRPr="00433FB9">
        <w:rPr>
          <w:lang w:val="fr-CA"/>
        </w:rPr>
        <w:t>Le CER</w:t>
      </w:r>
      <w:r w:rsidRPr="00433FB9">
        <w:rPr>
          <w:lang w:val="fr-CA"/>
        </w:rPr>
        <w:t xml:space="preserve"> peut simplement accuser réception de certains documents soumis dans le cadre d’une modification. </w:t>
      </w:r>
    </w:p>
    <w:p w14:paraId="7FFBB5A3" w14:textId="77777777" w:rsidR="00F3200B" w:rsidRPr="00433FB9" w:rsidRDefault="199E7C3A" w:rsidP="5871B364">
      <w:pPr>
        <w:pStyle w:val="Titre2"/>
        <w:rPr>
          <w:lang w:val="fr-CA"/>
        </w:rPr>
      </w:pPr>
      <w:bookmarkStart w:id="12" w:name="_Toc88487685"/>
      <w:bookmarkStart w:id="13" w:name="_Toc19874237"/>
      <w:r w:rsidRPr="00433FB9">
        <w:rPr>
          <w:lang w:val="fr-CA"/>
        </w:rPr>
        <w:t>Événements à déclarer</w:t>
      </w:r>
      <w:bookmarkEnd w:id="12"/>
      <w:bookmarkEnd w:id="13"/>
    </w:p>
    <w:p w14:paraId="7674348F" w14:textId="3A7BC5D9" w:rsidR="00F3200B" w:rsidRPr="00433FB9" w:rsidRDefault="199E7C3A" w:rsidP="00F3200B">
      <w:r w:rsidRPr="00433FB9">
        <w:t>Le chercheur est responsable de soumettre les événements à déclarer ou les nouvelles informations qui satisfont aux critères de déclaration du CER, conformément au présent MON et dans les délais prescrits à la section</w:t>
      </w:r>
      <w:r w:rsidR="20877F4C" w:rsidRPr="00433FB9">
        <w:t> </w:t>
      </w:r>
      <w:r w:rsidRPr="00433FB9">
        <w:t>5.4. Les rapports soumis au CER doivent être exempts de tout identifiant associé aux participants à la recherche (c.-à-d. utiliser le numéro de participant seulement). Le chercheur doit déterminer si un événement répond aux critères de déclaration du CER</w:t>
      </w:r>
      <w:r w:rsidR="34AD9801" w:rsidRPr="00433FB9">
        <w:t> :</w:t>
      </w:r>
      <w:r w:rsidRPr="00433FB9">
        <w:t xml:space="preserve"> </w:t>
      </w:r>
    </w:p>
    <w:p w14:paraId="63114603" w14:textId="77777777" w:rsidR="00F3200B" w:rsidRPr="00433FB9" w:rsidRDefault="199E7C3A" w:rsidP="002278B7">
      <w:pPr>
        <w:ind w:left="567"/>
      </w:pPr>
      <w:r w:rsidRPr="00433FB9">
        <w:t>En règle générale, doit être déclarée au CER toute nouvelle information qui devrait entraîner une modification à la brochure de l’investigateur, à la recherche elle-même ou au formulaire d’information et de consentement ou qui nécessite que le CER agisse afin d’assurer la protection des participants à la recherche; tout problème inattendu, événement ou rapport qui pourrait considérablement influer sur la conduite de la recherche ou altérer la volonté des participants d’y prendre part, sur l’approbation du CER ou sur son avis favorable à la continuation du projet de recherche.</w:t>
      </w:r>
    </w:p>
    <w:p w14:paraId="28B7C8DE" w14:textId="79E75CA4" w:rsidR="00F3200B" w:rsidRPr="00433FB9" w:rsidRDefault="199E7C3A" w:rsidP="5871B364">
      <w:r w:rsidRPr="00433FB9">
        <w:t>Le chercheur doit déclarer au CER les situations décrites ci-dessous, via la plateforme en ligne Nagano, dans les délais prescrits par le CER à la section</w:t>
      </w:r>
      <w:r w:rsidR="20877F4C" w:rsidRPr="00433FB9">
        <w:t> </w:t>
      </w:r>
      <w:r w:rsidRPr="00433FB9">
        <w:t>5.4.</w:t>
      </w:r>
    </w:p>
    <w:p w14:paraId="2DA1B614" w14:textId="5896243D" w:rsidR="00F3200B" w:rsidRPr="00433FB9" w:rsidRDefault="199E7C3A" w:rsidP="00F3200B">
      <w:pPr>
        <w:pStyle w:val="Titre3"/>
        <w:rPr>
          <w:lang w:val="fr-CA"/>
        </w:rPr>
      </w:pPr>
      <w:r w:rsidRPr="00433FB9">
        <w:rPr>
          <w:lang w:val="fr-CA"/>
        </w:rPr>
        <w:t>Effet indésirable grave (EIG) local</w:t>
      </w:r>
      <w:r w:rsidR="34AD9801" w:rsidRPr="00433FB9">
        <w:rPr>
          <w:lang w:val="fr-CA"/>
        </w:rPr>
        <w:t> :</w:t>
      </w:r>
    </w:p>
    <w:p w14:paraId="2FD2F768" w14:textId="32D165FE" w:rsidR="00F3200B" w:rsidRPr="00433FB9" w:rsidRDefault="199E7C3A" w:rsidP="006F3AF1">
      <w:pPr>
        <w:pStyle w:val="SOPBulletC"/>
        <w:numPr>
          <w:ilvl w:val="0"/>
          <w:numId w:val="24"/>
        </w:numPr>
        <w:ind w:left="1418" w:hanging="284"/>
      </w:pPr>
      <w:r w:rsidRPr="00433FB9">
        <w:t xml:space="preserve">Le chercheur doit déclarer au CER tout effet indésirable grave local qui, selon l’avis du chercheur, </w:t>
      </w:r>
      <w:r w:rsidR="3DB75735" w:rsidRPr="00433FB9">
        <w:t>rencontre</w:t>
      </w:r>
      <w:r w:rsidRPr="00433FB9">
        <w:t xml:space="preserve"> tous les critères suivants</w:t>
      </w:r>
      <w:r w:rsidR="34AD9801" w:rsidRPr="00433FB9">
        <w:t> :</w:t>
      </w:r>
    </w:p>
    <w:p w14:paraId="4B6A17F6" w14:textId="77777777" w:rsidR="00F3200B" w:rsidRPr="00433FB9" w:rsidRDefault="199E7C3A" w:rsidP="002F5105">
      <w:pPr>
        <w:numPr>
          <w:ilvl w:val="0"/>
          <w:numId w:val="19"/>
        </w:numPr>
        <w:ind w:left="2250" w:hanging="540"/>
      </w:pPr>
      <w:proofErr w:type="gramStart"/>
      <w:r w:rsidRPr="00433FB9">
        <w:t>inattendu</w:t>
      </w:r>
      <w:proofErr w:type="gramEnd"/>
      <w:r w:rsidRPr="00433FB9">
        <w:t>;</w:t>
      </w:r>
    </w:p>
    <w:p w14:paraId="402627A3" w14:textId="77777777" w:rsidR="00F3200B" w:rsidRPr="00433FB9" w:rsidRDefault="199E7C3A" w:rsidP="002F5105">
      <w:pPr>
        <w:numPr>
          <w:ilvl w:val="0"/>
          <w:numId w:val="19"/>
        </w:numPr>
        <w:ind w:left="2250" w:hanging="540"/>
      </w:pPr>
      <w:proofErr w:type="gramStart"/>
      <w:r w:rsidRPr="00433FB9">
        <w:t>relié</w:t>
      </w:r>
      <w:proofErr w:type="gramEnd"/>
      <w:r w:rsidRPr="00433FB9">
        <w:t xml:space="preserve"> ou possiblement relié à la participation au projet de recherche;</w:t>
      </w:r>
    </w:p>
    <w:p w14:paraId="12CB67F1" w14:textId="77777777" w:rsidR="00F3200B" w:rsidRPr="00433FB9" w:rsidRDefault="199E7C3A" w:rsidP="002F5105">
      <w:pPr>
        <w:numPr>
          <w:ilvl w:val="0"/>
          <w:numId w:val="19"/>
        </w:numPr>
        <w:ind w:left="2250" w:hanging="540"/>
      </w:pPr>
      <w:proofErr w:type="gramStart"/>
      <w:r w:rsidRPr="00433FB9">
        <w:t>indiquant</w:t>
      </w:r>
      <w:proofErr w:type="gramEnd"/>
      <w:r w:rsidRPr="00433FB9">
        <w:t xml:space="preserve"> que le projet de recherche met davantage à risque de subir un préjudice les participants ou d’autres personnes que ce qui avait été déterminé au moment de l’évaluation et de l’approbation. </w:t>
      </w:r>
    </w:p>
    <w:p w14:paraId="205F4638" w14:textId="277A3EAA" w:rsidR="00F3200B" w:rsidRPr="00433FB9" w:rsidRDefault="00F3200B" w:rsidP="006F3AF1">
      <w:pPr>
        <w:pStyle w:val="SOPBulletC"/>
        <w:numPr>
          <w:ilvl w:val="0"/>
          <w:numId w:val="24"/>
        </w:numPr>
        <w:ind w:left="1418" w:hanging="284"/>
      </w:pPr>
      <w:r w:rsidRPr="00433FB9">
        <w:t>La déclaration soumise au CER, via Nagano, doit comprendre tous les renseignements suivants</w:t>
      </w:r>
      <w:r w:rsidR="00B130E6" w:rsidRPr="00433FB9">
        <w:t> :</w:t>
      </w:r>
    </w:p>
    <w:p w14:paraId="021598A1" w14:textId="77777777" w:rsidR="00F3200B" w:rsidRPr="00433FB9" w:rsidRDefault="199E7C3A" w:rsidP="00EC1E5D">
      <w:pPr>
        <w:numPr>
          <w:ilvl w:val="0"/>
          <w:numId w:val="21"/>
        </w:numPr>
        <w:ind w:left="2250" w:hanging="540"/>
      </w:pPr>
      <w:proofErr w:type="gramStart"/>
      <w:r w:rsidRPr="00433FB9">
        <w:lastRenderedPageBreak/>
        <w:t>la</w:t>
      </w:r>
      <w:proofErr w:type="gramEnd"/>
      <w:r w:rsidRPr="00433FB9">
        <w:t xml:space="preserve"> description de l’effet indésirable;</w:t>
      </w:r>
    </w:p>
    <w:p w14:paraId="118D1A81" w14:textId="77777777" w:rsidR="00F3200B" w:rsidRPr="00433FB9" w:rsidRDefault="199E7C3A" w:rsidP="002F5105">
      <w:pPr>
        <w:numPr>
          <w:ilvl w:val="0"/>
          <w:numId w:val="21"/>
        </w:numPr>
        <w:ind w:left="2250" w:hanging="540"/>
      </w:pPr>
      <w:proofErr w:type="gramStart"/>
      <w:r w:rsidRPr="00433FB9">
        <w:t>les</w:t>
      </w:r>
      <w:proofErr w:type="gramEnd"/>
      <w:r w:rsidRPr="00433FB9">
        <w:t xml:space="preserve"> rapports de sécurité précédents concernant des événements similaires, le cas échéant;</w:t>
      </w:r>
    </w:p>
    <w:p w14:paraId="6D3E7B50" w14:textId="77777777" w:rsidR="00F3200B" w:rsidRPr="00433FB9" w:rsidRDefault="199E7C3A" w:rsidP="002F5105">
      <w:pPr>
        <w:numPr>
          <w:ilvl w:val="0"/>
          <w:numId w:val="21"/>
        </w:numPr>
        <w:ind w:left="2250" w:hanging="540"/>
      </w:pPr>
      <w:proofErr w:type="gramStart"/>
      <w:r w:rsidRPr="00433FB9">
        <w:t>une</w:t>
      </w:r>
      <w:proofErr w:type="gramEnd"/>
      <w:r w:rsidRPr="00433FB9">
        <w:t xml:space="preserve"> analyse de la portée de l’effet indésirable en question;</w:t>
      </w:r>
    </w:p>
    <w:p w14:paraId="110DA29A" w14:textId="77777777" w:rsidR="00F3200B" w:rsidRPr="00433FB9" w:rsidRDefault="199E7C3A" w:rsidP="002F5105">
      <w:pPr>
        <w:numPr>
          <w:ilvl w:val="0"/>
          <w:numId w:val="21"/>
        </w:numPr>
        <w:ind w:left="2250" w:hanging="540"/>
      </w:pPr>
      <w:proofErr w:type="gramStart"/>
      <w:r w:rsidRPr="00433FB9">
        <w:t>si</w:t>
      </w:r>
      <w:proofErr w:type="gramEnd"/>
      <w:r w:rsidRPr="00433FB9">
        <w:t xml:space="preserve"> applicable, les propositions de changements à apporter au déroulement du projet de recherche et/ou au formulaire d’information et de consentement et/ou la liste des mesures correctives qu’il faut prendre en réponse à l’événement;</w:t>
      </w:r>
    </w:p>
    <w:p w14:paraId="5323AF35" w14:textId="77777777" w:rsidR="00F3200B" w:rsidRPr="00433FB9" w:rsidRDefault="199E7C3A" w:rsidP="002F5105">
      <w:pPr>
        <w:numPr>
          <w:ilvl w:val="0"/>
          <w:numId w:val="21"/>
        </w:numPr>
        <w:ind w:left="2250" w:hanging="540"/>
      </w:pPr>
      <w:proofErr w:type="gramStart"/>
      <w:r w:rsidRPr="00433FB9">
        <w:t>une</w:t>
      </w:r>
      <w:proofErr w:type="gramEnd"/>
      <w:r w:rsidRPr="00433FB9">
        <w:t xml:space="preserve"> copie du rapport du promoteur, le cas échéant.</w:t>
      </w:r>
    </w:p>
    <w:p w14:paraId="1B05661D" w14:textId="19C713B7" w:rsidR="00F3200B" w:rsidRPr="00433FB9" w:rsidRDefault="71C66E5F" w:rsidP="00922D44">
      <w:pPr>
        <w:pStyle w:val="SOPBulletC"/>
        <w:numPr>
          <w:ilvl w:val="0"/>
          <w:numId w:val="24"/>
        </w:numPr>
        <w:ind w:left="1418" w:hanging="284"/>
      </w:pPr>
      <w:r w:rsidRPr="00433FB9">
        <w:t xml:space="preserve">Tous les formulaires applicables, soumis à la demande du promoteur, le cas échéant (ex. : le formulaire relatif aux EIG), doivent être </w:t>
      </w:r>
      <w:r w:rsidR="2CB42CEE" w:rsidRPr="00433FB9">
        <w:t>transmis</w:t>
      </w:r>
      <w:r w:rsidRPr="00433FB9">
        <w:t xml:space="preserve"> dans Nagano.</w:t>
      </w:r>
    </w:p>
    <w:p w14:paraId="392B228E" w14:textId="77777777" w:rsidR="00F3200B" w:rsidRPr="00433FB9" w:rsidRDefault="00F3200B" w:rsidP="00922D44">
      <w:pPr>
        <w:pStyle w:val="SOPBulletC"/>
        <w:numPr>
          <w:ilvl w:val="0"/>
          <w:numId w:val="24"/>
        </w:numPr>
        <w:ind w:left="1418" w:hanging="284"/>
      </w:pPr>
      <w:r w:rsidRPr="00433FB9">
        <w:t>Lorsqu’un EIG local est déclaré au CER, les rapports de suivi subséquents en lien avec cet EIG et jugés importants doivent être acheminés dès qu’ils sont disponibles. Les rapports de suivi du promoteur doivent être transmis lors des mises à jour de l’événement à déclarer. Tous les rapports de suivis initiaux et subséquents seront conservés avec la déclaration initiale.</w:t>
      </w:r>
    </w:p>
    <w:p w14:paraId="46D96805" w14:textId="69657280" w:rsidR="00F3200B" w:rsidRPr="00AB365A" w:rsidRDefault="199E7C3A" w:rsidP="00AB365A">
      <w:pPr>
        <w:pStyle w:val="Titre3"/>
        <w:rPr>
          <w:lang w:val="fr-CA"/>
        </w:rPr>
      </w:pPr>
      <w:r w:rsidRPr="00AB365A">
        <w:rPr>
          <w:lang w:val="fr-CA"/>
        </w:rPr>
        <w:t>Effet indésirable grave (EIGE) non local (externe)</w:t>
      </w:r>
      <w:r w:rsidR="34AD9801" w:rsidRPr="00AB365A">
        <w:rPr>
          <w:lang w:val="fr-CA"/>
        </w:rPr>
        <w:t> :</w:t>
      </w:r>
    </w:p>
    <w:p w14:paraId="1D7857C4" w14:textId="37915A20" w:rsidR="00F3200B" w:rsidRPr="00433FB9" w:rsidRDefault="199E7C3A" w:rsidP="00922D44">
      <w:pPr>
        <w:pStyle w:val="SOPBulletC"/>
        <w:numPr>
          <w:ilvl w:val="0"/>
          <w:numId w:val="24"/>
        </w:numPr>
        <w:ind w:left="1418" w:hanging="284"/>
      </w:pPr>
      <w:r w:rsidRPr="00433FB9">
        <w:t xml:space="preserve">Le chercheur doit déclarer au CER tout effet indésirable grave non-local qui, selon l’avis du chercheur, </w:t>
      </w:r>
      <w:r w:rsidR="1F9E0BEA" w:rsidRPr="00433FB9">
        <w:t>rencontre</w:t>
      </w:r>
      <w:r w:rsidRPr="00433FB9">
        <w:t xml:space="preserve"> tous les critères suivants:</w:t>
      </w:r>
    </w:p>
    <w:p w14:paraId="2CCBCCC7" w14:textId="77777777" w:rsidR="00F3200B" w:rsidRPr="00433FB9" w:rsidRDefault="199E7C3A" w:rsidP="000D7DE1">
      <w:pPr>
        <w:numPr>
          <w:ilvl w:val="0"/>
          <w:numId w:val="20"/>
        </w:numPr>
        <w:ind w:left="2250" w:hanging="540"/>
      </w:pPr>
      <w:proofErr w:type="gramStart"/>
      <w:r w:rsidRPr="00433FB9">
        <w:t>inattendu</w:t>
      </w:r>
      <w:proofErr w:type="gramEnd"/>
      <w:r w:rsidRPr="00433FB9">
        <w:t>;</w:t>
      </w:r>
    </w:p>
    <w:p w14:paraId="217BA837" w14:textId="77777777" w:rsidR="00F3200B" w:rsidRPr="00433FB9" w:rsidRDefault="199E7C3A" w:rsidP="002F5105">
      <w:pPr>
        <w:numPr>
          <w:ilvl w:val="0"/>
          <w:numId w:val="20"/>
        </w:numPr>
        <w:ind w:left="2250" w:hanging="540"/>
      </w:pPr>
      <w:proofErr w:type="gramStart"/>
      <w:r w:rsidRPr="00433FB9">
        <w:t>relié</w:t>
      </w:r>
      <w:proofErr w:type="gramEnd"/>
      <w:r w:rsidRPr="00433FB9">
        <w:t xml:space="preserve"> ou possiblement relié à la participation au projet de recherche;</w:t>
      </w:r>
    </w:p>
    <w:p w14:paraId="1FF1091E" w14:textId="77777777" w:rsidR="00F3200B" w:rsidRPr="00433FB9" w:rsidRDefault="199E7C3A" w:rsidP="002F5105">
      <w:pPr>
        <w:numPr>
          <w:ilvl w:val="0"/>
          <w:numId w:val="20"/>
        </w:numPr>
        <w:ind w:left="2250" w:hanging="540"/>
      </w:pPr>
      <w:proofErr w:type="gramStart"/>
      <w:r w:rsidRPr="00433FB9">
        <w:t>qui</w:t>
      </w:r>
      <w:proofErr w:type="gramEnd"/>
      <w:r w:rsidRPr="00433FB9">
        <w:t xml:space="preserve"> indique que le projet de recherche met davantage à risque de subir un préjudice les participants ou d’autres personnes que ce qui avait été déterminé au moment de l’évaluation et de l’approbation;</w:t>
      </w:r>
    </w:p>
    <w:p w14:paraId="7CF79425" w14:textId="77777777" w:rsidR="00F3200B" w:rsidRPr="00433FB9" w:rsidRDefault="199E7C3A" w:rsidP="5871B364">
      <w:pPr>
        <w:ind w:left="1710"/>
      </w:pPr>
      <w:r w:rsidRPr="00433FB9">
        <w:rPr>
          <w:b/>
          <w:bCs/>
        </w:rPr>
        <w:t>ET</w:t>
      </w:r>
    </w:p>
    <w:p w14:paraId="40FB3DE3" w14:textId="77777777" w:rsidR="00F3200B" w:rsidRPr="00433FB9" w:rsidRDefault="199E7C3A" w:rsidP="002F5105">
      <w:pPr>
        <w:numPr>
          <w:ilvl w:val="0"/>
          <w:numId w:val="20"/>
        </w:numPr>
        <w:ind w:left="2261" w:hanging="547"/>
        <w:contextualSpacing/>
      </w:pPr>
      <w:proofErr w:type="gramStart"/>
      <w:r w:rsidRPr="00433FB9">
        <w:t>qui</w:t>
      </w:r>
      <w:proofErr w:type="gramEnd"/>
      <w:r w:rsidRPr="00433FB9">
        <w:t xml:space="preserve"> requiert une modification au déroulement du projet de recherche et/ou au formulaire d’information et de consentement et/ou que les participants soient immédiatement avisés pour des raisons de sécurité.</w:t>
      </w:r>
    </w:p>
    <w:p w14:paraId="0181FD6B" w14:textId="318A779E" w:rsidR="00F3200B" w:rsidRPr="00433FB9" w:rsidRDefault="199E7C3A" w:rsidP="5871B364">
      <w:pPr>
        <w:ind w:left="1701"/>
      </w:pPr>
      <w:r w:rsidRPr="00433FB9">
        <w:t>La déclaration soumise au CER, via Nagano, doit comprendre tous les renseignements énumérés à la section</w:t>
      </w:r>
      <w:r w:rsidR="20877F4C" w:rsidRPr="00433FB9">
        <w:t> </w:t>
      </w:r>
      <w:r w:rsidRPr="00433FB9">
        <w:t>5.2.1.</w:t>
      </w:r>
    </w:p>
    <w:p w14:paraId="72E39E13" w14:textId="77777777" w:rsidR="00F3200B" w:rsidRPr="00AB365A" w:rsidRDefault="199E7C3A" w:rsidP="00AB365A">
      <w:pPr>
        <w:pStyle w:val="Titre3"/>
        <w:rPr>
          <w:lang w:val="fr-CA"/>
        </w:rPr>
      </w:pPr>
      <w:r w:rsidRPr="00AB365A">
        <w:rPr>
          <w:lang w:val="fr-CA"/>
        </w:rPr>
        <w:t>Déviation à un projet de recherche déjà approuvé</w:t>
      </w:r>
    </w:p>
    <w:p w14:paraId="2134458D" w14:textId="2C33FBE8" w:rsidR="00F3200B" w:rsidRPr="00433FB9" w:rsidRDefault="199E7C3A" w:rsidP="5871B364">
      <w:pPr>
        <w:keepNext/>
      </w:pPr>
      <w:r w:rsidRPr="00433FB9">
        <w:lastRenderedPageBreak/>
        <w:t xml:space="preserve">À l’aide de la plateforme en ligne Nagano, le chercheur doit déclarer au CER toute déviation </w:t>
      </w:r>
      <w:r w:rsidRPr="00433FB9">
        <w:rPr>
          <w:u w:val="single"/>
        </w:rPr>
        <w:t>locale</w:t>
      </w:r>
      <w:r w:rsidRPr="00433FB9">
        <w:t xml:space="preserve"> qui satisfait aux critères de </w:t>
      </w:r>
      <w:r w:rsidR="167C0BEA" w:rsidRPr="00433FB9">
        <w:t>déclarations</w:t>
      </w:r>
      <w:r w:rsidRPr="00433FB9">
        <w:t xml:space="preserve"> suivants</w:t>
      </w:r>
      <w:r w:rsidR="34AD9801" w:rsidRPr="00433FB9">
        <w:t> :</w:t>
      </w:r>
    </w:p>
    <w:p w14:paraId="6D5D00F8" w14:textId="77777777" w:rsidR="00F3200B" w:rsidRPr="00433FB9" w:rsidRDefault="199E7C3A" w:rsidP="005F63C5">
      <w:pPr>
        <w:pStyle w:val="Paragraphedeliste"/>
        <w:numPr>
          <w:ilvl w:val="0"/>
          <w:numId w:val="25"/>
        </w:numPr>
        <w:ind w:left="1418" w:hanging="284"/>
      </w:pPr>
      <w:proofErr w:type="gramStart"/>
      <w:r w:rsidRPr="00433FB9">
        <w:t>toute</w:t>
      </w:r>
      <w:proofErr w:type="gramEnd"/>
      <w:r w:rsidRPr="00433FB9">
        <w:t xml:space="preserve"> déviation qui, selon le chercheur, compromet la sécurité des participants à la recherche, l’efficacité de la recherche, l’intégrité des données ou qui pourrait influer autrement sur les droits des participants, leur sécurité ou leur bien-être;</w:t>
      </w:r>
    </w:p>
    <w:p w14:paraId="23FB26A0" w14:textId="77777777" w:rsidR="00F3200B" w:rsidRPr="00433FB9" w:rsidRDefault="199E7C3A" w:rsidP="005F63C5">
      <w:pPr>
        <w:pStyle w:val="Paragraphedeliste"/>
        <w:numPr>
          <w:ilvl w:val="0"/>
          <w:numId w:val="25"/>
        </w:numPr>
        <w:ind w:left="1418" w:hanging="284"/>
      </w:pPr>
      <w:proofErr w:type="gramStart"/>
      <w:r w:rsidRPr="00433FB9">
        <w:t>toute</w:t>
      </w:r>
      <w:proofErr w:type="gramEnd"/>
      <w:r w:rsidRPr="00433FB9">
        <w:t xml:space="preserve"> déviation aux critères d’admissibilité des participants approuvée par le promoteur;</w:t>
      </w:r>
    </w:p>
    <w:p w14:paraId="75059DC4" w14:textId="4EB6B77B" w:rsidR="00F3200B" w:rsidRPr="00433FB9" w:rsidRDefault="199E7C3A" w:rsidP="005F63C5">
      <w:pPr>
        <w:pStyle w:val="Paragraphedeliste"/>
        <w:numPr>
          <w:ilvl w:val="0"/>
          <w:numId w:val="25"/>
        </w:numPr>
        <w:ind w:left="1418" w:hanging="284"/>
      </w:pPr>
      <w:proofErr w:type="gramStart"/>
      <w:r w:rsidRPr="00433FB9">
        <w:t>toute</w:t>
      </w:r>
      <w:proofErr w:type="gramEnd"/>
      <w:r w:rsidRPr="00433FB9">
        <w:t xml:space="preserve"> déviation </w:t>
      </w:r>
      <w:r w:rsidR="54332E12" w:rsidRPr="00433FB9">
        <w:t>du</w:t>
      </w:r>
      <w:r w:rsidRPr="00433FB9">
        <w:t xml:space="preserve"> processus de consentement approuvé (ex.</w:t>
      </w:r>
      <w:r w:rsidR="34AD9801" w:rsidRPr="00433FB9">
        <w:t> :</w:t>
      </w:r>
      <w:r w:rsidRPr="00433FB9">
        <w:t xml:space="preserve"> traduction incorrecte, non-utilisation de la version à jour du formulaire d’information et de consentement);</w:t>
      </w:r>
    </w:p>
    <w:p w14:paraId="738259A4" w14:textId="77777777" w:rsidR="00F3200B" w:rsidRPr="00433FB9" w:rsidRDefault="199E7C3A" w:rsidP="005F63C5">
      <w:pPr>
        <w:pStyle w:val="Paragraphedeliste"/>
        <w:numPr>
          <w:ilvl w:val="0"/>
          <w:numId w:val="25"/>
        </w:numPr>
        <w:ind w:left="1418" w:hanging="284"/>
      </w:pPr>
      <w:proofErr w:type="gramStart"/>
      <w:r w:rsidRPr="00433FB9">
        <w:t>toute</w:t>
      </w:r>
      <w:proofErr w:type="gramEnd"/>
      <w:r w:rsidRPr="00433FB9">
        <w:t xml:space="preserve"> déviation qui mène à un EIG.</w:t>
      </w:r>
    </w:p>
    <w:p w14:paraId="6AB5E914" w14:textId="77777777" w:rsidR="00F3200B" w:rsidRPr="00F42D38" w:rsidRDefault="199E7C3A" w:rsidP="00F42D38">
      <w:pPr>
        <w:pStyle w:val="Titre3"/>
        <w:rPr>
          <w:lang w:val="fr-CA"/>
        </w:rPr>
      </w:pPr>
      <w:r w:rsidRPr="00F42D38">
        <w:rPr>
          <w:lang w:val="fr-CA"/>
        </w:rPr>
        <w:t>Atteintes à la vie privée</w:t>
      </w:r>
    </w:p>
    <w:p w14:paraId="5FBB91E2" w14:textId="11C2A1BE" w:rsidR="00F3200B" w:rsidRPr="00433FB9" w:rsidRDefault="199E7C3A" w:rsidP="5871B364">
      <w:r w:rsidRPr="00433FB9">
        <w:t>À l’aide de la plateforme en ligne Nagano, le chercheur doit déclarer au CER toute collecte, utilisation ou divulgation non autorisée de renseignements personnels, notamment</w:t>
      </w:r>
      <w:r w:rsidR="34AD9801" w:rsidRPr="00433FB9">
        <w:t> :</w:t>
      </w:r>
    </w:p>
    <w:p w14:paraId="39D88157" w14:textId="77777777" w:rsidR="00F3200B" w:rsidRPr="00433FB9" w:rsidRDefault="199E7C3A" w:rsidP="005F63C5">
      <w:pPr>
        <w:pStyle w:val="Paragraphedeliste"/>
        <w:numPr>
          <w:ilvl w:val="0"/>
          <w:numId w:val="25"/>
        </w:numPr>
        <w:ind w:left="1418" w:hanging="284"/>
      </w:pPr>
      <w:proofErr w:type="gramStart"/>
      <w:r w:rsidRPr="00433FB9">
        <w:t>la</w:t>
      </w:r>
      <w:proofErr w:type="gramEnd"/>
      <w:r w:rsidRPr="00433FB9">
        <w:t xml:space="preserve"> collecte, l’utilisation et la divulgation de renseignements personnels non conformes à la législation locale ou à la réglementation en vigueur;</w:t>
      </w:r>
    </w:p>
    <w:p w14:paraId="41E6B235" w14:textId="77777777" w:rsidR="00F3200B" w:rsidRPr="00433FB9" w:rsidRDefault="199E7C3A" w:rsidP="005F63C5">
      <w:pPr>
        <w:pStyle w:val="Paragraphedeliste"/>
        <w:numPr>
          <w:ilvl w:val="0"/>
          <w:numId w:val="25"/>
        </w:numPr>
        <w:ind w:left="1418" w:hanging="284"/>
      </w:pPr>
      <w:proofErr w:type="gramStart"/>
      <w:r w:rsidRPr="00433FB9">
        <w:t>le</w:t>
      </w:r>
      <w:proofErr w:type="gramEnd"/>
      <w:r w:rsidRPr="00433FB9">
        <w:t xml:space="preserve"> vol, la perte, l’utilisation ou la divulgation non autorisée de renseignements personnels, ou la reproduction, la modification ou la destruction non autorisée de documents contenant des renseignements personnels;</w:t>
      </w:r>
    </w:p>
    <w:p w14:paraId="4A4F7FA8" w14:textId="171E83C7" w:rsidR="00F3200B" w:rsidRPr="00433FB9" w:rsidRDefault="199E7C3A" w:rsidP="005F63C5">
      <w:pPr>
        <w:pStyle w:val="Paragraphedeliste"/>
        <w:numPr>
          <w:ilvl w:val="0"/>
          <w:numId w:val="25"/>
        </w:numPr>
        <w:ind w:left="1418" w:hanging="284"/>
      </w:pPr>
      <w:proofErr w:type="gramStart"/>
      <w:r w:rsidRPr="00433FB9">
        <w:t>la</w:t>
      </w:r>
      <w:proofErr w:type="gramEnd"/>
      <w:r w:rsidRPr="00433FB9">
        <w:t xml:space="preserve"> collecte, l’utilisation ou la divulgation de renseignements personnels effectuée dans le cadre de la recherche, mais n’ayant pas été autorisée pour ce projet de recherche ou approuvée dans la demande soumise au</w:t>
      </w:r>
      <w:r w:rsidR="11FC2152" w:rsidRPr="00433FB9">
        <w:t> </w:t>
      </w:r>
      <w:r w:rsidRPr="00433FB9">
        <w:t>CER.</w:t>
      </w:r>
    </w:p>
    <w:p w14:paraId="66E13927" w14:textId="77777777" w:rsidR="00F3200B" w:rsidRPr="00433FB9" w:rsidRDefault="199E7C3A" w:rsidP="5871B364">
      <w:r w:rsidRPr="00433FB9">
        <w:t>La déviation doit être déclarée au CER et, le cas échéant, aux représentants pertinents de l’établissement aussitôt que le chercheur en constate l’occurrence.</w:t>
      </w:r>
    </w:p>
    <w:p w14:paraId="695A874D" w14:textId="77777777" w:rsidR="00F3200B" w:rsidRPr="00433FB9" w:rsidRDefault="199E7C3A" w:rsidP="00D0261F">
      <w:pPr>
        <w:pStyle w:val="Titre3"/>
        <w:rPr>
          <w:lang w:val="fr-CA"/>
        </w:rPr>
      </w:pPr>
      <w:r w:rsidRPr="00433FB9">
        <w:rPr>
          <w:lang w:val="fr-CA"/>
        </w:rPr>
        <w:t>Plainte d’un participant à la recherche</w:t>
      </w:r>
    </w:p>
    <w:p w14:paraId="510571A9" w14:textId="091BCE1F" w:rsidR="00F3200B" w:rsidRPr="00433FB9" w:rsidRDefault="199E7C3A" w:rsidP="5871B364">
      <w:r w:rsidRPr="00433FB9">
        <w:t>À l’aide de la plateforme en ligne Nagano, le chercheur doit déclarer au CER toute préoccupation exprimée par le participant concernant ses droits en tant que participant à la recherche ou concernant les aspects éthiques liés au projet de recherche, conformément au MON</w:t>
      </w:r>
      <w:r w:rsidR="1B951279" w:rsidRPr="00433FB9">
        <w:t> </w:t>
      </w:r>
      <w:r w:rsidRPr="00433FB9">
        <w:t>406</w:t>
      </w:r>
      <w:r w:rsidR="677F7FB2" w:rsidRPr="00433FB9">
        <w:t>.001</w:t>
      </w:r>
      <w:r w:rsidRPr="00433FB9">
        <w:t>.</w:t>
      </w:r>
    </w:p>
    <w:p w14:paraId="58E62E52" w14:textId="77777777" w:rsidR="00F3200B" w:rsidRPr="002F5105" w:rsidRDefault="199E7C3A" w:rsidP="002F5105">
      <w:pPr>
        <w:pStyle w:val="Titre3"/>
        <w:rPr>
          <w:lang w:val="fr-CA"/>
        </w:rPr>
      </w:pPr>
      <w:r w:rsidRPr="002F5105">
        <w:rPr>
          <w:lang w:val="fr-CA"/>
        </w:rPr>
        <w:t>Autres événements ou nouvelle information à déclarer</w:t>
      </w:r>
    </w:p>
    <w:p w14:paraId="118BD609" w14:textId="5A134519" w:rsidR="00F3200B" w:rsidRPr="00433FB9" w:rsidRDefault="199E7C3A" w:rsidP="5871B364">
      <w:pPr>
        <w:keepNext/>
      </w:pPr>
      <w:r w:rsidRPr="00433FB9">
        <w:t>En utilisant les formulaires Nagano appropriés, le chercheur est responsable de déclarer au CER les situations telles que</w:t>
      </w:r>
      <w:r w:rsidR="34AD9801" w:rsidRPr="00433FB9">
        <w:t> :</w:t>
      </w:r>
    </w:p>
    <w:p w14:paraId="3C9ECD5E" w14:textId="56DEFD20" w:rsidR="00F3200B" w:rsidRPr="00433FB9" w:rsidRDefault="199E7C3A" w:rsidP="002431CB">
      <w:pPr>
        <w:pStyle w:val="Paragraphedeliste"/>
        <w:numPr>
          <w:ilvl w:val="0"/>
          <w:numId w:val="25"/>
        </w:numPr>
        <w:ind w:left="1418" w:hanging="284"/>
      </w:pPr>
      <w:proofErr w:type="gramStart"/>
      <w:r w:rsidRPr="00433FB9">
        <w:t>tout</w:t>
      </w:r>
      <w:proofErr w:type="gramEnd"/>
      <w:r w:rsidRPr="00433FB9">
        <w:t xml:space="preserve"> changement des risques ou des avantages potentiels du projet de recherche, notamment</w:t>
      </w:r>
      <w:r w:rsidR="34AD9801" w:rsidRPr="00433FB9">
        <w:t> :</w:t>
      </w:r>
    </w:p>
    <w:p w14:paraId="33396E89" w14:textId="77777777" w:rsidR="00F3200B" w:rsidRPr="00433FB9" w:rsidRDefault="199E7C3A" w:rsidP="009B396C">
      <w:pPr>
        <w:pStyle w:val="Paragraphedeliste"/>
        <w:numPr>
          <w:ilvl w:val="0"/>
          <w:numId w:val="25"/>
        </w:numPr>
        <w:ind w:left="1985" w:hanging="284"/>
      </w:pPr>
      <w:proofErr w:type="gramStart"/>
      <w:r w:rsidRPr="00433FB9">
        <w:t>une</w:t>
      </w:r>
      <w:proofErr w:type="gramEnd"/>
      <w:r w:rsidRPr="00433FB9">
        <w:t xml:space="preserve"> analyse intérimaire indiquant un taux de réponse au traitement chez les participants différent de celui attendu;</w:t>
      </w:r>
    </w:p>
    <w:p w14:paraId="3D523A03" w14:textId="77777777" w:rsidR="00F3200B" w:rsidRPr="00433FB9" w:rsidRDefault="199E7C3A" w:rsidP="009B396C">
      <w:pPr>
        <w:pStyle w:val="Paragraphedeliste"/>
        <w:numPr>
          <w:ilvl w:val="0"/>
          <w:numId w:val="25"/>
        </w:numPr>
        <w:ind w:left="1985" w:hanging="284"/>
      </w:pPr>
      <w:proofErr w:type="gramStart"/>
      <w:r w:rsidRPr="00433FB9">
        <w:t>une</w:t>
      </w:r>
      <w:proofErr w:type="gramEnd"/>
      <w:r w:rsidRPr="00433FB9">
        <w:t xml:space="preserve"> surveillance active indiquant qu’un effet secondaire particulier est plus grave ou plus fréquent qu’attendu;</w:t>
      </w:r>
    </w:p>
    <w:p w14:paraId="1688606E" w14:textId="77777777" w:rsidR="00F3200B" w:rsidRPr="00433FB9" w:rsidRDefault="199E7C3A" w:rsidP="009B396C">
      <w:pPr>
        <w:pStyle w:val="Paragraphedeliste"/>
        <w:numPr>
          <w:ilvl w:val="0"/>
          <w:numId w:val="25"/>
        </w:numPr>
        <w:ind w:left="1985" w:hanging="284"/>
      </w:pPr>
      <w:proofErr w:type="gramStart"/>
      <w:r w:rsidRPr="00433FB9">
        <w:lastRenderedPageBreak/>
        <w:t>des</w:t>
      </w:r>
      <w:proofErr w:type="gramEnd"/>
      <w:r w:rsidRPr="00433FB9">
        <w:t xml:space="preserve"> données publiées dans le cadre d’un autre projet de recherche montrant qu’un volet du projet de recherche ne présente aucune valeur thérapeutique;</w:t>
      </w:r>
    </w:p>
    <w:p w14:paraId="08E81F8D" w14:textId="08C8A3C3" w:rsidR="00F3200B" w:rsidRPr="00433FB9" w:rsidRDefault="199E7C3A" w:rsidP="002431CB">
      <w:pPr>
        <w:pStyle w:val="Paragraphedeliste"/>
        <w:numPr>
          <w:ilvl w:val="0"/>
          <w:numId w:val="25"/>
        </w:numPr>
        <w:ind w:left="1418" w:hanging="284"/>
      </w:pPr>
      <w:proofErr w:type="gramStart"/>
      <w:r w:rsidRPr="00433FB9">
        <w:t>un</w:t>
      </w:r>
      <w:proofErr w:type="gramEnd"/>
      <w:r w:rsidRPr="00433FB9">
        <w:t xml:space="preserve"> changement </w:t>
      </w:r>
      <w:r w:rsidR="54332E12" w:rsidRPr="00433FB9">
        <w:t>mandaté</w:t>
      </w:r>
      <w:r w:rsidRPr="00433FB9">
        <w:t xml:space="preserve"> par Santé Canada ou la FDA dans l’étiquetage d’un produit, une modification du statut d’approbation ou encore le retrait commercial d’un médicament, d’un dispositif, d’un produit de santé naturel, d’une thérapie génique ou d’un agent biologique utilisé dans le cadre du projet de recherche;</w:t>
      </w:r>
    </w:p>
    <w:p w14:paraId="4C0F118E" w14:textId="2BA351B6" w:rsidR="00F3200B" w:rsidRPr="00433FB9" w:rsidRDefault="199E7C3A" w:rsidP="002431CB">
      <w:pPr>
        <w:pStyle w:val="Paragraphedeliste"/>
        <w:numPr>
          <w:ilvl w:val="0"/>
          <w:numId w:val="25"/>
        </w:numPr>
        <w:ind w:left="1418" w:hanging="284"/>
      </w:pPr>
      <w:proofErr w:type="gramStart"/>
      <w:r w:rsidRPr="00433FB9">
        <w:t>tout</w:t>
      </w:r>
      <w:proofErr w:type="gramEnd"/>
      <w:r w:rsidRPr="00433FB9">
        <w:t xml:space="preserve"> problème imprévu ou événement qui pourrait influencer de manière importante la conduite du projet de recherche dans l’établissement (ex.</w:t>
      </w:r>
      <w:r w:rsidR="34AD9801" w:rsidRPr="00433FB9">
        <w:t> :</w:t>
      </w:r>
      <w:r w:rsidRPr="00433FB9">
        <w:t xml:space="preserve"> préoccupations en matière de non-conformité, enjeux de convenance institutionnelle);</w:t>
      </w:r>
    </w:p>
    <w:p w14:paraId="79214A4D" w14:textId="2D479FA6" w:rsidR="00F3200B" w:rsidRPr="00433FB9" w:rsidRDefault="199E7C3A" w:rsidP="002431CB">
      <w:pPr>
        <w:pStyle w:val="Paragraphedeliste"/>
        <w:numPr>
          <w:ilvl w:val="0"/>
          <w:numId w:val="25"/>
        </w:numPr>
        <w:ind w:left="1418" w:hanging="284"/>
      </w:pPr>
      <w:proofErr w:type="gramStart"/>
      <w:r w:rsidRPr="00433FB9">
        <w:t>les</w:t>
      </w:r>
      <w:proofErr w:type="gramEnd"/>
      <w:r w:rsidRPr="00433FB9">
        <w:t xml:space="preserve"> résultats d’inspection ou de vérification en lien avec la sécurité et le bien-être des participants</w:t>
      </w:r>
      <w:r w:rsidR="34AD9801" w:rsidRPr="00433FB9">
        <w:t> :</w:t>
      </w:r>
      <w:r w:rsidRPr="00433FB9">
        <w:t xml:space="preserve"> à la suite d’une inspection de Santé Canada, de la FDA ou d’une autre vérification réglementaire, d’une vérification interne d’assurance qualité ou d’autres vérifications effectuées dans l’établissement, le chercheur doit soumettre au CER un résumé de tous les résultats pertinents d’inspection ou de vérification en lien avec la sécurité et le bien-être des participants.</w:t>
      </w:r>
    </w:p>
    <w:p w14:paraId="0D2C6463" w14:textId="77777777" w:rsidR="00F3200B" w:rsidRPr="00433FB9" w:rsidRDefault="199E7C3A" w:rsidP="5871B364">
      <w:pPr>
        <w:pStyle w:val="Titre2"/>
        <w:rPr>
          <w:lang w:val="fr-CA"/>
        </w:rPr>
      </w:pPr>
      <w:bookmarkStart w:id="14" w:name="_Toc88487686"/>
      <w:bookmarkStart w:id="15" w:name="_Toc19874238"/>
      <w:r w:rsidRPr="00433FB9">
        <w:rPr>
          <w:lang w:val="fr-CA"/>
        </w:rPr>
        <w:t>Autres rapports</w:t>
      </w:r>
      <w:bookmarkEnd w:id="14"/>
      <w:bookmarkEnd w:id="15"/>
    </w:p>
    <w:p w14:paraId="7B13D98B" w14:textId="4A3B114A" w:rsidR="00F3200B" w:rsidRPr="00433FB9" w:rsidRDefault="199E7C3A" w:rsidP="5871B364">
      <w:r w:rsidRPr="00433FB9">
        <w:t>Le chercheur est responsable de transmettre au CER</w:t>
      </w:r>
      <w:r w:rsidR="2D2EAC2B" w:rsidRPr="00433FB9">
        <w:t>,</w:t>
      </w:r>
      <w:r w:rsidR="1320338C" w:rsidRPr="00433FB9">
        <w:t xml:space="preserve"> </w:t>
      </w:r>
      <w:r w:rsidR="2F4884E5" w:rsidRPr="00433FB9">
        <w:t>via</w:t>
      </w:r>
      <w:r w:rsidR="2D2EAC2B" w:rsidRPr="00433FB9">
        <w:t xml:space="preserve"> Nagano</w:t>
      </w:r>
      <w:r w:rsidRPr="00433FB9">
        <w:t>, les rapports relatifs au projet de recherche, conformément à la section</w:t>
      </w:r>
      <w:r w:rsidR="20877F4C" w:rsidRPr="00433FB9">
        <w:t> </w:t>
      </w:r>
      <w:r w:rsidRPr="00433FB9">
        <w:t>5.4</w:t>
      </w:r>
      <w:r w:rsidR="34AD9801" w:rsidRPr="00433FB9">
        <w:t> :</w:t>
      </w:r>
    </w:p>
    <w:p w14:paraId="438D9073" w14:textId="77777777" w:rsidR="00F3200B" w:rsidRPr="00433FB9" w:rsidRDefault="199E7C3A" w:rsidP="5871B364">
      <w:r w:rsidRPr="00433FB9">
        <w:t xml:space="preserve">Si le promoteur requiert la soumission au CER des rapports qui sont produits conformément au protocole de recherche, ou qui sont de routine ou aléatoires, et qui </w:t>
      </w:r>
      <w:r w:rsidRPr="00433FB9">
        <w:rPr>
          <w:b/>
          <w:bCs/>
        </w:rPr>
        <w:t>ne suggèrent aucune</w:t>
      </w:r>
      <w:r w:rsidRPr="00433FB9">
        <w:t xml:space="preserve"> mesure additionnelle pour protéger la sécurité et le bien-être des participants, ceux-ci peuvent être soumis au moment du renouvellement annuel de l’approbation éthique. Le CER accusera réception de ces rapports.</w:t>
      </w:r>
    </w:p>
    <w:p w14:paraId="28EB556F" w14:textId="77777777" w:rsidR="00F3200B" w:rsidRPr="00433FB9" w:rsidRDefault="00F3200B" w:rsidP="00B130E6">
      <w:pPr>
        <w:pStyle w:val="Titre2"/>
        <w:rPr>
          <w:lang w:val="fr-CA"/>
        </w:rPr>
      </w:pPr>
      <w:bookmarkStart w:id="16" w:name="_Toc4686713"/>
      <w:bookmarkStart w:id="17" w:name="_Toc4688066"/>
      <w:bookmarkStart w:id="18" w:name="_Toc88487687"/>
      <w:bookmarkStart w:id="19" w:name="_Toc19874239"/>
      <w:bookmarkEnd w:id="16"/>
      <w:bookmarkEnd w:id="17"/>
      <w:r w:rsidRPr="00433FB9">
        <w:rPr>
          <w:lang w:val="fr-CA"/>
        </w:rPr>
        <w:t>Délais de déclaration d’événements au CER</w:t>
      </w:r>
      <w:bookmarkEnd w:id="18"/>
      <w:bookmarkEnd w:id="19"/>
    </w:p>
    <w:p w14:paraId="539C53B2" w14:textId="4E09EC97" w:rsidR="00B42CF4" w:rsidRDefault="199E7C3A" w:rsidP="00F578CE">
      <w:pPr>
        <w:keepNext/>
        <w:keepLines/>
      </w:pPr>
      <w:r w:rsidRPr="00433FB9">
        <w:t>Le CER doit être avisé lorsque surviennent des événements à déclarer, tels que définis dans le présent MON, en respectant les délais suivants</w:t>
      </w:r>
      <w:r w:rsidR="34AD9801" w:rsidRPr="00433FB9">
        <w:t> :</w:t>
      </w:r>
    </w:p>
    <w:tbl>
      <w:tblPr>
        <w:tblW w:w="10080" w:type="dxa"/>
        <w:tblInd w:w="-6" w:type="dxa"/>
        <w:tblLook w:val="04A0" w:firstRow="1" w:lastRow="0" w:firstColumn="1" w:lastColumn="0" w:noHBand="0" w:noVBand="1"/>
      </w:tblPr>
      <w:tblGrid>
        <w:gridCol w:w="3360"/>
        <w:gridCol w:w="3360"/>
        <w:gridCol w:w="3360"/>
      </w:tblGrid>
      <w:tr w:rsidR="00775C1A" w:rsidRPr="00433FB9" w14:paraId="1088E016" w14:textId="77777777" w:rsidTr="000978C1">
        <w:trPr>
          <w:cantSplit/>
        </w:trPr>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56B4630" w14:textId="1EDB487D" w:rsidR="00775C1A" w:rsidRPr="00433FB9" w:rsidRDefault="00775C1A" w:rsidP="5871B364">
            <w:pPr>
              <w:keepNext/>
              <w:spacing w:before="0" w:after="0"/>
              <w:jc w:val="left"/>
              <w:outlineLvl w:val="2"/>
              <w:rPr>
                <w:b/>
                <w:bCs/>
              </w:rPr>
            </w:pPr>
            <w:r>
              <w:rPr>
                <w:b/>
                <w:bCs/>
              </w:rPr>
              <w:t>Déclaration au CER concernant les...</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F707934" w14:textId="577823AB" w:rsidR="00775C1A" w:rsidRPr="00433FB9" w:rsidRDefault="00775C1A" w:rsidP="5871B364">
            <w:pPr>
              <w:keepNext/>
              <w:spacing w:before="0" w:after="0"/>
              <w:jc w:val="left"/>
              <w:outlineLvl w:val="2"/>
              <w:rPr>
                <w:b/>
                <w:bCs/>
              </w:rPr>
            </w:pPr>
            <w:r>
              <w:rPr>
                <w:b/>
                <w:bCs/>
              </w:rPr>
              <w:t>Échéance (jours civils)</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29A9D14" w14:textId="672348C0" w:rsidR="00775C1A" w:rsidRPr="00433FB9" w:rsidRDefault="00775C1A" w:rsidP="5871B364">
            <w:pPr>
              <w:keepNext/>
              <w:spacing w:before="0" w:after="0"/>
              <w:jc w:val="left"/>
              <w:outlineLvl w:val="2"/>
              <w:rPr>
                <w:b/>
                <w:bCs/>
              </w:rPr>
            </w:pPr>
            <w:r>
              <w:rPr>
                <w:b/>
                <w:bCs/>
              </w:rPr>
              <w:t>Suivi requis</w:t>
            </w:r>
          </w:p>
        </w:tc>
      </w:tr>
      <w:tr w:rsidR="00B97C03" w:rsidRPr="00433FB9" w14:paraId="015D1F15" w14:textId="77777777" w:rsidTr="00B249BD">
        <w:trPr>
          <w:cantSplit/>
          <w:trHeight w:val="339"/>
        </w:trPr>
        <w:tc>
          <w:tcPr>
            <w:tcW w:w="1008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FFABE22" w14:textId="54009C3E" w:rsidR="00B97C03" w:rsidRPr="00A857D8" w:rsidRDefault="2679C162" w:rsidP="00F578CE">
            <w:pPr>
              <w:pStyle w:val="Titre3"/>
              <w:spacing w:before="0" w:after="0"/>
              <w:rPr>
                <w:b/>
                <w:bCs/>
              </w:rPr>
            </w:pPr>
            <w:r w:rsidRPr="00A857D8">
              <w:rPr>
                <w:b/>
                <w:bCs/>
              </w:rPr>
              <w:t>Modification</w:t>
            </w:r>
            <w:r w:rsidR="33E872FA" w:rsidRPr="00A857D8">
              <w:rPr>
                <w:b/>
                <w:bCs/>
              </w:rPr>
              <w:t>s</w:t>
            </w:r>
          </w:p>
        </w:tc>
      </w:tr>
      <w:tr w:rsidR="00F857B8" w:rsidRPr="00433FB9" w14:paraId="089BB6F5" w14:textId="77777777" w:rsidTr="00775C1A">
        <w:trPr>
          <w:cantSplit/>
        </w:trPr>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0DC7A87" w14:textId="54BEF7C2" w:rsidR="00F857B8" w:rsidRPr="00A90C35" w:rsidRDefault="00F857B8" w:rsidP="00F857B8">
            <w:pPr>
              <w:pStyle w:val="Paragraphedeliste"/>
              <w:keepNext/>
              <w:numPr>
                <w:ilvl w:val="0"/>
                <w:numId w:val="34"/>
              </w:numPr>
              <w:spacing w:before="0" w:after="0"/>
              <w:ind w:left="313" w:hanging="284"/>
              <w:jc w:val="left"/>
              <w:outlineLvl w:val="2"/>
              <w:rPr>
                <w:b/>
                <w:bCs/>
              </w:rPr>
            </w:pPr>
            <w:r w:rsidRPr="00155A17">
              <w:t>Modifications mises en œuvre immédiatement pour protéger les participants</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35555AF8" w14:textId="670BD81A" w:rsidR="00F857B8" w:rsidRPr="00433FB9" w:rsidRDefault="00F857B8" w:rsidP="00F857B8">
            <w:pPr>
              <w:keepNext/>
              <w:spacing w:before="0" w:after="0"/>
              <w:jc w:val="left"/>
              <w:outlineLvl w:val="2"/>
              <w:rPr>
                <w:b/>
                <w:bCs/>
              </w:rPr>
            </w:pPr>
            <w:r w:rsidRPr="002562A4">
              <w:t>Immédiatement</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33C7873B" w14:textId="3EDAF432" w:rsidR="00F857B8" w:rsidRPr="00433FB9" w:rsidRDefault="00F857B8" w:rsidP="00F857B8">
            <w:pPr>
              <w:keepNext/>
              <w:spacing w:before="0" w:after="0"/>
              <w:jc w:val="left"/>
              <w:outlineLvl w:val="2"/>
              <w:rPr>
                <w:b/>
                <w:bCs/>
              </w:rPr>
            </w:pPr>
            <w:r w:rsidRPr="002562A4">
              <w:t>Évaluation et approbation des modifications par le CER</w:t>
            </w:r>
          </w:p>
        </w:tc>
      </w:tr>
      <w:tr w:rsidR="00CD143E" w:rsidRPr="00433FB9" w14:paraId="6E62B2DF" w14:textId="77777777" w:rsidTr="00775C1A">
        <w:trPr>
          <w:cantSplit/>
        </w:trPr>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70BC1A2" w14:textId="3B874669" w:rsidR="00CD143E" w:rsidRPr="00433FB9" w:rsidRDefault="00CD143E" w:rsidP="00CD143E">
            <w:pPr>
              <w:pStyle w:val="Paragraphedeliste"/>
              <w:keepNext/>
              <w:numPr>
                <w:ilvl w:val="0"/>
                <w:numId w:val="34"/>
              </w:numPr>
              <w:spacing w:before="0" w:after="0"/>
              <w:ind w:left="313" w:hanging="284"/>
              <w:jc w:val="left"/>
              <w:outlineLvl w:val="2"/>
              <w:rPr>
                <w:b/>
                <w:bCs/>
              </w:rPr>
            </w:pPr>
            <w:r w:rsidRPr="00A90C35">
              <w:t>Toutes les autres modifications</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291049B8" w14:textId="6DA767DB" w:rsidR="00CD143E" w:rsidRPr="00433FB9" w:rsidRDefault="00CD143E" w:rsidP="00CD143E">
            <w:pPr>
              <w:keepNext/>
              <w:spacing w:before="0" w:after="0"/>
              <w:jc w:val="left"/>
              <w:outlineLvl w:val="2"/>
              <w:rPr>
                <w:b/>
                <w:bCs/>
              </w:rPr>
            </w:pPr>
            <w:r w:rsidRPr="002562A4">
              <w:t>Déclarer avant de mettre ces modifications en place</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789E5D00" w14:textId="4C36A5DD" w:rsidR="00CD143E" w:rsidRPr="00433FB9" w:rsidRDefault="00CD143E" w:rsidP="00CD143E">
            <w:pPr>
              <w:keepNext/>
              <w:spacing w:before="0" w:after="0"/>
              <w:jc w:val="left"/>
              <w:outlineLvl w:val="2"/>
              <w:rPr>
                <w:b/>
                <w:bCs/>
              </w:rPr>
            </w:pPr>
            <w:r w:rsidRPr="002562A4">
              <w:t>Faire évaluer et attendre l’approbation de la modification par le CER avant de l</w:t>
            </w:r>
            <w:r>
              <w:t>es</w:t>
            </w:r>
            <w:r w:rsidRPr="002562A4">
              <w:t xml:space="preserve"> mettre en œuvre</w:t>
            </w:r>
          </w:p>
        </w:tc>
      </w:tr>
      <w:tr w:rsidR="00B97C03" w:rsidRPr="00433FB9" w14:paraId="67C8EA2B" w14:textId="77777777" w:rsidTr="00B42CF4">
        <w:trPr>
          <w:cantSplit/>
        </w:trPr>
        <w:tc>
          <w:tcPr>
            <w:tcW w:w="1008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0445049" w14:textId="22115C33" w:rsidR="00B97C03" w:rsidRPr="00433FB9" w:rsidRDefault="2679C162" w:rsidP="00F578CE">
            <w:pPr>
              <w:pStyle w:val="Titre3"/>
              <w:spacing w:before="0" w:after="0"/>
              <w:rPr>
                <w:b/>
                <w:bCs/>
              </w:rPr>
            </w:pPr>
            <w:r w:rsidRPr="00433FB9">
              <w:rPr>
                <w:b/>
                <w:bCs/>
              </w:rPr>
              <w:t>Tous les événements à déclarer, tels que décrits ici</w:t>
            </w:r>
          </w:p>
        </w:tc>
      </w:tr>
      <w:tr w:rsidR="0000685B" w:rsidRPr="00433FB9" w14:paraId="732ABFA0" w14:textId="77777777" w:rsidTr="00775C1A">
        <w:trPr>
          <w:cantSplit/>
          <w:trHeight w:val="231"/>
        </w:trPr>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06838801" w14:textId="4E7D2357" w:rsidR="0000685B" w:rsidRPr="00433FB9" w:rsidRDefault="0000685B" w:rsidP="0000685B">
            <w:pPr>
              <w:pStyle w:val="Paragraphedeliste"/>
              <w:keepNext/>
              <w:numPr>
                <w:ilvl w:val="0"/>
                <w:numId w:val="37"/>
              </w:numPr>
              <w:spacing w:before="0" w:after="0"/>
              <w:ind w:left="313" w:hanging="284"/>
              <w:jc w:val="left"/>
              <w:outlineLvl w:val="2"/>
              <w:rPr>
                <w:b/>
                <w:bCs/>
              </w:rPr>
            </w:pPr>
            <w:r w:rsidRPr="00B97C03">
              <w:lastRenderedPageBreak/>
              <w:t>Événements à déclarer en cas de décès et/ou de réactions potentiellement mortelles</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7F053672" w14:textId="69776E4B" w:rsidR="0000685B" w:rsidRPr="00433FB9" w:rsidRDefault="0000685B" w:rsidP="0000685B">
            <w:pPr>
              <w:spacing w:before="0" w:after="0"/>
              <w:jc w:val="left"/>
              <w:outlineLvl w:val="2"/>
              <w:rPr>
                <w:b/>
                <w:bCs/>
              </w:rPr>
            </w:pPr>
            <w:r w:rsidRPr="00C33301">
              <w:t xml:space="preserve">Dans </w:t>
            </w:r>
            <w:proofErr w:type="gramStart"/>
            <w:r w:rsidRPr="00C33301">
              <w:t>les sept jours suivant</w:t>
            </w:r>
            <w:proofErr w:type="gramEnd"/>
            <w:r w:rsidRPr="00C33301">
              <w:t xml:space="preserve"> celui où le chercheur a pris connaissance de l’événement</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02618B54" w14:textId="16B0EE93" w:rsidR="0000685B" w:rsidRPr="00433FB9" w:rsidRDefault="0000685B" w:rsidP="0000685B">
            <w:pPr>
              <w:spacing w:before="0" w:after="0"/>
              <w:jc w:val="left"/>
              <w:outlineLvl w:val="2"/>
              <w:rPr>
                <w:b/>
                <w:bCs/>
              </w:rPr>
            </w:pPr>
            <w:r w:rsidRPr="00C33301">
              <w:t>Un rapport détaillé présentant une analyse de l’événement, ses conséquences et les mesures correctives apportées doit être soumis dans les huit jours suivant le dépôt de la première déclaration</w:t>
            </w:r>
          </w:p>
        </w:tc>
      </w:tr>
      <w:tr w:rsidR="00352F06" w:rsidRPr="00433FB9" w14:paraId="70CCCDBB" w14:textId="77777777" w:rsidTr="00775C1A">
        <w:trPr>
          <w:cantSplit/>
          <w:trHeight w:val="229"/>
        </w:trPr>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453851AC" w14:textId="67ADA414" w:rsidR="00352F06" w:rsidRPr="00433FB9" w:rsidRDefault="00352F06" w:rsidP="00E51B4C">
            <w:pPr>
              <w:pStyle w:val="Paragraphedeliste"/>
              <w:keepNext/>
              <w:numPr>
                <w:ilvl w:val="0"/>
                <w:numId w:val="37"/>
              </w:numPr>
              <w:spacing w:before="0" w:after="0"/>
              <w:ind w:left="313" w:hanging="284"/>
              <w:jc w:val="left"/>
              <w:outlineLvl w:val="2"/>
              <w:rPr>
                <w:b/>
                <w:bCs/>
              </w:rPr>
            </w:pPr>
            <w:r w:rsidRPr="00B97C03">
              <w:t>Tous les autres événements à déclarer</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1CA20828" w14:textId="0B7C82C3" w:rsidR="00352F06" w:rsidRPr="00433FB9" w:rsidRDefault="00352F06" w:rsidP="00352F06">
            <w:pPr>
              <w:spacing w:before="0" w:after="0"/>
              <w:jc w:val="left"/>
              <w:outlineLvl w:val="2"/>
              <w:rPr>
                <w:b/>
                <w:bCs/>
              </w:rPr>
            </w:pPr>
            <w:r w:rsidRPr="00B97C03">
              <w:t xml:space="preserve">Dans </w:t>
            </w:r>
            <w:proofErr w:type="gramStart"/>
            <w:r w:rsidRPr="00B97C03">
              <w:t>les quinze jours suivant</w:t>
            </w:r>
            <w:proofErr w:type="gramEnd"/>
            <w:r w:rsidRPr="00B97C03">
              <w:t xml:space="preserve"> celui où le chercheur a pris connaissance de l’événement</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7DBA57F2" w14:textId="41CF3530" w:rsidR="00352F06" w:rsidRPr="00433FB9" w:rsidRDefault="00352F06" w:rsidP="00352F06">
            <w:pPr>
              <w:spacing w:before="0" w:after="0"/>
              <w:jc w:val="left"/>
              <w:outlineLvl w:val="2"/>
              <w:rPr>
                <w:b/>
                <w:bCs/>
              </w:rPr>
            </w:pPr>
          </w:p>
        </w:tc>
      </w:tr>
      <w:tr w:rsidR="00F13889" w:rsidRPr="00433FB9" w14:paraId="44FDCABE" w14:textId="77777777" w:rsidTr="00775C1A">
        <w:trPr>
          <w:cantSplit/>
          <w:trHeight w:val="229"/>
        </w:trPr>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68ECD52D" w14:textId="3EC5CE25" w:rsidR="00F13889" w:rsidRPr="00433FB9" w:rsidRDefault="00F13889" w:rsidP="00E51B4C">
            <w:pPr>
              <w:pStyle w:val="Paragraphedeliste"/>
              <w:keepNext/>
              <w:numPr>
                <w:ilvl w:val="0"/>
                <w:numId w:val="37"/>
              </w:numPr>
              <w:spacing w:before="0" w:after="0"/>
              <w:ind w:left="313" w:hanging="284"/>
              <w:jc w:val="left"/>
              <w:outlineLvl w:val="2"/>
              <w:rPr>
                <w:b/>
                <w:bCs/>
              </w:rPr>
            </w:pPr>
            <w:r w:rsidRPr="00B97C03">
              <w:t>Toute nouvelle information qui peut impacter négativement la sécurité des participants à la recherche ou le déroulement du projet de recherche</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60BB1B0D" w14:textId="458235D0" w:rsidR="00F13889" w:rsidRPr="00433FB9" w:rsidRDefault="00F13889" w:rsidP="00F13889">
            <w:pPr>
              <w:spacing w:before="0" w:after="0"/>
              <w:jc w:val="left"/>
              <w:outlineLvl w:val="2"/>
              <w:rPr>
                <w:b/>
                <w:bCs/>
              </w:rPr>
            </w:pPr>
            <w:r w:rsidRPr="00B97C03">
              <w:t xml:space="preserve">Dans </w:t>
            </w:r>
            <w:proofErr w:type="gramStart"/>
            <w:r w:rsidRPr="00B97C03">
              <w:t>les quinze jours suivant</w:t>
            </w:r>
            <w:proofErr w:type="gramEnd"/>
            <w:r w:rsidRPr="00B97C03">
              <w:t xml:space="preserve"> celui où le chercheur a pris connaissance de cette information</w:t>
            </w:r>
          </w:p>
        </w:tc>
        <w:tc>
          <w:tcPr>
            <w:tcW w:w="3360" w:type="dxa"/>
            <w:tcBorders>
              <w:top w:val="single" w:sz="5" w:space="0" w:color="000000" w:themeColor="text1"/>
              <w:left w:val="single" w:sz="5" w:space="0" w:color="000000" w:themeColor="text1"/>
              <w:right w:val="single" w:sz="5" w:space="0" w:color="000000" w:themeColor="text1"/>
            </w:tcBorders>
            <w:shd w:val="clear" w:color="auto" w:fill="FFFFFF" w:themeFill="background1"/>
          </w:tcPr>
          <w:p w14:paraId="7BFD71A5" w14:textId="747FE122" w:rsidR="00F13889" w:rsidRPr="00433FB9" w:rsidRDefault="00F13889" w:rsidP="00F13889">
            <w:pPr>
              <w:spacing w:before="0" w:after="0"/>
              <w:jc w:val="left"/>
              <w:outlineLvl w:val="2"/>
              <w:rPr>
                <w:b/>
                <w:bCs/>
              </w:rPr>
            </w:pPr>
          </w:p>
        </w:tc>
      </w:tr>
      <w:tr w:rsidR="00775C1A" w:rsidRPr="00433FB9" w14:paraId="5FCE2BE9" w14:textId="77777777" w:rsidTr="00B42CF4">
        <w:trPr>
          <w:cantSplit/>
        </w:trPr>
        <w:tc>
          <w:tcPr>
            <w:tcW w:w="1008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56CF3B5" w14:textId="0BE3F1A1" w:rsidR="00775C1A" w:rsidRPr="00433FB9" w:rsidRDefault="00775C1A" w:rsidP="00F578CE">
            <w:pPr>
              <w:pStyle w:val="Titre3"/>
              <w:spacing w:before="0" w:after="0"/>
              <w:rPr>
                <w:b/>
                <w:bCs/>
              </w:rPr>
            </w:pPr>
            <w:r w:rsidRPr="00433FB9">
              <w:rPr>
                <w:b/>
                <w:bCs/>
              </w:rPr>
              <w:t>Autres rapports</w:t>
            </w:r>
          </w:p>
        </w:tc>
      </w:tr>
      <w:tr w:rsidR="001F6BCF" w:rsidRPr="00433FB9" w14:paraId="5BA6FC7E" w14:textId="77777777" w:rsidTr="00775C1A">
        <w:trPr>
          <w:cantSplit/>
        </w:trPr>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5DFCDA72" w14:textId="2438BB41" w:rsidR="001F6BCF" w:rsidRPr="00433FB9" w:rsidRDefault="001F6BCF" w:rsidP="001F6BCF">
            <w:pPr>
              <w:keepNext/>
              <w:spacing w:before="0" w:after="0"/>
              <w:jc w:val="left"/>
              <w:outlineLvl w:val="2"/>
              <w:rPr>
                <w:b/>
                <w:bCs/>
              </w:rPr>
            </w:pPr>
            <w:r w:rsidRPr="009E318A">
              <w:t>Rapports prévus au protocole, de routine ou aléatoires</w:t>
            </w:r>
            <w:r>
              <w:t>,</w:t>
            </w:r>
            <w:r w:rsidRPr="009E318A">
              <w:t xml:space="preserve"> n’identifiant ni impact sur la sécurité ou le bien-être des participants ni modification requise</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48551E2E" w14:textId="1EBC8259" w:rsidR="001F6BCF" w:rsidRPr="00433FB9" w:rsidRDefault="001F6BCF" w:rsidP="001F6BCF">
            <w:pPr>
              <w:keepNext/>
              <w:spacing w:before="0" w:after="0"/>
              <w:jc w:val="left"/>
              <w:outlineLvl w:val="2"/>
              <w:rPr>
                <w:b/>
                <w:bCs/>
              </w:rPr>
            </w:pPr>
            <w:r w:rsidRPr="009E318A">
              <w:t>Soumettre au moment du renouvellement annuel de l’approbation éthique si exigé par le promoteur</w:t>
            </w:r>
          </w:p>
        </w:tc>
        <w:tc>
          <w:tcPr>
            <w:tcW w:w="3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14:paraId="0B37182C" w14:textId="205A26B0" w:rsidR="001F6BCF" w:rsidRPr="00433FB9" w:rsidRDefault="001F6BCF" w:rsidP="001F6BCF">
            <w:pPr>
              <w:keepNext/>
              <w:spacing w:before="0" w:after="0"/>
              <w:jc w:val="left"/>
              <w:outlineLvl w:val="2"/>
              <w:rPr>
                <w:b/>
                <w:bCs/>
              </w:rPr>
            </w:pPr>
            <w:r w:rsidRPr="009E318A">
              <w:t>Le CER accusera réception par écrit</w:t>
            </w:r>
          </w:p>
        </w:tc>
      </w:tr>
    </w:tbl>
    <w:p w14:paraId="4E0517B7" w14:textId="77777777" w:rsidR="00F3200B" w:rsidRPr="00433FB9" w:rsidRDefault="00F3200B" w:rsidP="00B97C03">
      <w:pPr>
        <w:pStyle w:val="Titre2"/>
        <w:rPr>
          <w:lang w:val="fr-CA"/>
        </w:rPr>
      </w:pPr>
      <w:bookmarkStart w:id="20" w:name="_Toc88487688"/>
      <w:bookmarkStart w:id="21" w:name="_Toc19874240"/>
      <w:r w:rsidRPr="00433FB9">
        <w:rPr>
          <w:lang w:val="fr-CA"/>
        </w:rPr>
        <w:t>Évaluation des événements à déclarer par le CER</w:t>
      </w:r>
      <w:bookmarkEnd w:id="20"/>
      <w:bookmarkEnd w:id="21"/>
    </w:p>
    <w:p w14:paraId="346BA092" w14:textId="455F0F76" w:rsidR="00F3200B" w:rsidRPr="00433FB9" w:rsidRDefault="199E7C3A" w:rsidP="00D0261F">
      <w:pPr>
        <w:pStyle w:val="Titre3"/>
        <w:rPr>
          <w:lang w:val="fr-CA"/>
        </w:rPr>
      </w:pPr>
      <w:bookmarkStart w:id="22" w:name="_Hlk11791202"/>
      <w:r w:rsidRPr="00433FB9">
        <w:rPr>
          <w:lang w:val="fr-CA"/>
        </w:rPr>
        <w:t xml:space="preserve">Le personnel de soutien </w:t>
      </w:r>
      <w:r w:rsidR="2AA582C0" w:rsidRPr="00433FB9">
        <w:rPr>
          <w:lang w:val="fr-CA"/>
        </w:rPr>
        <w:t>désigné du</w:t>
      </w:r>
      <w:r w:rsidRPr="00433FB9">
        <w:rPr>
          <w:lang w:val="fr-CA"/>
        </w:rPr>
        <w:t xml:space="preserve"> CER </w:t>
      </w:r>
      <w:r w:rsidR="7CF78F62" w:rsidRPr="00433FB9">
        <w:rPr>
          <w:lang w:val="fr-CA"/>
        </w:rPr>
        <w:t>examinera</w:t>
      </w:r>
      <w:r w:rsidRPr="00433FB9">
        <w:rPr>
          <w:lang w:val="fr-CA"/>
        </w:rPr>
        <w:t xml:space="preserve"> le rapport pour s’assurer qu’il est complet et que le formulaire des événements à déclarer a été joint, le cas</w:t>
      </w:r>
      <w:r w:rsidR="055F188B" w:rsidRPr="00433FB9">
        <w:rPr>
          <w:lang w:val="fr-CA"/>
        </w:rPr>
        <w:t> </w:t>
      </w:r>
      <w:r w:rsidRPr="00433FB9">
        <w:rPr>
          <w:lang w:val="fr-CA"/>
        </w:rPr>
        <w:t>échéant.</w:t>
      </w:r>
    </w:p>
    <w:bookmarkEnd w:id="22"/>
    <w:p w14:paraId="1FFBD9C2" w14:textId="13D80DFE" w:rsidR="00F3200B" w:rsidRPr="00433FB9" w:rsidRDefault="199E7C3A" w:rsidP="00D0261F">
      <w:pPr>
        <w:pStyle w:val="Titre3"/>
        <w:rPr>
          <w:lang w:val="fr-CA"/>
        </w:rPr>
      </w:pPr>
      <w:r w:rsidRPr="00433FB9">
        <w:rPr>
          <w:lang w:val="fr-CA"/>
        </w:rPr>
        <w:t xml:space="preserve">Le personnel de soutien </w:t>
      </w:r>
      <w:r w:rsidR="36F69B2C" w:rsidRPr="00433FB9">
        <w:rPr>
          <w:lang w:val="fr-CA"/>
        </w:rPr>
        <w:t>désigné du</w:t>
      </w:r>
      <w:r w:rsidR="0AB33306" w:rsidRPr="00433FB9">
        <w:rPr>
          <w:lang w:val="fr-CA"/>
        </w:rPr>
        <w:t xml:space="preserve"> CER </w:t>
      </w:r>
      <w:r w:rsidRPr="00433FB9">
        <w:rPr>
          <w:lang w:val="fr-CA"/>
        </w:rPr>
        <w:t>peut retourner au besoin la soumission au chercheur lui demandant d’ajouter des précisions, des documents manquants ou des informations.</w:t>
      </w:r>
    </w:p>
    <w:p w14:paraId="1BDD9D5A" w14:textId="16524174" w:rsidR="00F3200B" w:rsidRPr="00433FB9" w:rsidRDefault="199E7C3A" w:rsidP="00D0261F">
      <w:pPr>
        <w:pStyle w:val="Titre3"/>
        <w:rPr>
          <w:lang w:val="fr-CA"/>
        </w:rPr>
      </w:pPr>
      <w:r w:rsidRPr="00433FB9">
        <w:rPr>
          <w:lang w:val="fr-CA"/>
        </w:rPr>
        <w:t xml:space="preserve">Le personnel de soutien </w:t>
      </w:r>
      <w:r w:rsidR="316AF767" w:rsidRPr="00433FB9">
        <w:rPr>
          <w:lang w:val="fr-CA"/>
        </w:rPr>
        <w:t>désigné du</w:t>
      </w:r>
      <w:r w:rsidR="0AB33306" w:rsidRPr="00433FB9">
        <w:rPr>
          <w:lang w:val="fr-CA"/>
        </w:rPr>
        <w:t xml:space="preserve"> CER </w:t>
      </w:r>
      <w:r w:rsidRPr="00433FB9">
        <w:rPr>
          <w:lang w:val="fr-CA"/>
        </w:rPr>
        <w:t>assigne les soumissions à</w:t>
      </w:r>
      <w:r w:rsidR="54134422" w:rsidRPr="00433FB9">
        <w:rPr>
          <w:lang w:val="fr-CA"/>
        </w:rPr>
        <w:t>/</w:t>
      </w:r>
      <w:r w:rsidRPr="00433FB9">
        <w:rPr>
          <w:lang w:val="fr-CA"/>
        </w:rPr>
        <w:t>aux évaluateur</w:t>
      </w:r>
      <w:r w:rsidR="20877F4C" w:rsidRPr="00433FB9">
        <w:rPr>
          <w:lang w:val="fr-CA"/>
        </w:rPr>
        <w:t>(</w:t>
      </w:r>
      <w:r w:rsidRPr="00433FB9">
        <w:rPr>
          <w:lang w:val="fr-CA"/>
        </w:rPr>
        <w:t>s</w:t>
      </w:r>
      <w:r w:rsidR="20877F4C" w:rsidRPr="00433FB9">
        <w:rPr>
          <w:lang w:val="fr-CA"/>
        </w:rPr>
        <w:t>)</w:t>
      </w:r>
      <w:r w:rsidRPr="00433FB9">
        <w:rPr>
          <w:lang w:val="fr-CA"/>
        </w:rPr>
        <w:t xml:space="preserve"> du CER.</w:t>
      </w:r>
    </w:p>
    <w:p w14:paraId="1FEA502D" w14:textId="2577D035" w:rsidR="00F3200B" w:rsidRPr="00433FB9" w:rsidRDefault="12D9335A" w:rsidP="00D0261F">
      <w:pPr>
        <w:pStyle w:val="Titre3"/>
        <w:rPr>
          <w:lang w:val="fr-CA"/>
        </w:rPr>
      </w:pPr>
      <w:r w:rsidRPr="00433FB9">
        <w:rPr>
          <w:lang w:val="fr-CA"/>
        </w:rPr>
        <w:t>L</w:t>
      </w:r>
      <w:r w:rsidR="54134422" w:rsidRPr="00433FB9">
        <w:rPr>
          <w:lang w:val="fr-CA"/>
        </w:rPr>
        <w:t>’/L</w:t>
      </w:r>
      <w:r w:rsidRPr="00433FB9">
        <w:rPr>
          <w:lang w:val="fr-CA"/>
        </w:rPr>
        <w:t xml:space="preserve">es </w:t>
      </w:r>
      <w:r w:rsidR="457736D5" w:rsidRPr="00433FB9">
        <w:rPr>
          <w:lang w:val="fr-CA"/>
        </w:rPr>
        <w:t>évaluateur</w:t>
      </w:r>
      <w:r w:rsidR="54134422" w:rsidRPr="00433FB9">
        <w:rPr>
          <w:lang w:val="fr-CA"/>
        </w:rPr>
        <w:t>(</w:t>
      </w:r>
      <w:r w:rsidR="457736D5" w:rsidRPr="00433FB9">
        <w:rPr>
          <w:lang w:val="fr-CA"/>
        </w:rPr>
        <w:t>s</w:t>
      </w:r>
      <w:r w:rsidR="54134422" w:rsidRPr="00433FB9">
        <w:rPr>
          <w:lang w:val="fr-CA"/>
        </w:rPr>
        <w:t>)</w:t>
      </w:r>
      <w:r w:rsidR="199E7C3A" w:rsidRPr="00433FB9">
        <w:rPr>
          <w:lang w:val="fr-CA"/>
        </w:rPr>
        <w:t xml:space="preserve"> du CER à qui ont été assignées les soumissions</w:t>
      </w:r>
      <w:r w:rsidRPr="00433FB9">
        <w:rPr>
          <w:lang w:val="fr-CA"/>
        </w:rPr>
        <w:t xml:space="preserve"> effectue</w:t>
      </w:r>
      <w:r w:rsidR="3352B22E" w:rsidRPr="00433FB9">
        <w:rPr>
          <w:lang w:val="fr-CA"/>
        </w:rPr>
        <w:t>(</w:t>
      </w:r>
      <w:r w:rsidRPr="00433FB9">
        <w:rPr>
          <w:lang w:val="fr-CA"/>
        </w:rPr>
        <w:t>nt</w:t>
      </w:r>
      <w:r w:rsidR="3352B22E" w:rsidRPr="00433FB9">
        <w:rPr>
          <w:lang w:val="fr-CA"/>
        </w:rPr>
        <w:t>)</w:t>
      </w:r>
      <w:r w:rsidR="199E7C3A" w:rsidRPr="00433FB9">
        <w:rPr>
          <w:lang w:val="fr-CA"/>
        </w:rPr>
        <w:t xml:space="preserve"> l’analyse des rapports et </w:t>
      </w:r>
      <w:r w:rsidRPr="00433FB9">
        <w:rPr>
          <w:lang w:val="fr-CA"/>
        </w:rPr>
        <w:t>détermine</w:t>
      </w:r>
      <w:r w:rsidR="3352B22E" w:rsidRPr="00433FB9">
        <w:rPr>
          <w:lang w:val="fr-CA"/>
        </w:rPr>
        <w:t>(</w:t>
      </w:r>
      <w:r w:rsidRPr="00433FB9">
        <w:rPr>
          <w:lang w:val="fr-CA"/>
        </w:rPr>
        <w:t>nt</w:t>
      </w:r>
      <w:r w:rsidR="3352B22E" w:rsidRPr="00433FB9">
        <w:rPr>
          <w:lang w:val="fr-CA"/>
        </w:rPr>
        <w:t>)</w:t>
      </w:r>
      <w:r w:rsidR="199E7C3A" w:rsidRPr="00433FB9">
        <w:rPr>
          <w:lang w:val="fr-CA"/>
        </w:rPr>
        <w:t xml:space="preserve"> si des mesures ou un suivi sont nécessaires. </w:t>
      </w:r>
      <w:r w:rsidR="4A55EEB0" w:rsidRPr="00433FB9">
        <w:rPr>
          <w:lang w:val="fr-CA"/>
        </w:rPr>
        <w:t>Ce</w:t>
      </w:r>
      <w:r w:rsidR="3352B22E" w:rsidRPr="00433FB9">
        <w:rPr>
          <w:lang w:val="fr-CA"/>
        </w:rPr>
        <w:t>t/Ce</w:t>
      </w:r>
      <w:r w:rsidR="4A55EEB0" w:rsidRPr="00433FB9">
        <w:rPr>
          <w:lang w:val="fr-CA"/>
        </w:rPr>
        <w:t xml:space="preserve">s </w:t>
      </w:r>
      <w:r w:rsidR="457736D5" w:rsidRPr="00433FB9">
        <w:rPr>
          <w:lang w:val="fr-CA"/>
        </w:rPr>
        <w:t>évaluateur</w:t>
      </w:r>
      <w:r w:rsidR="3352B22E" w:rsidRPr="00433FB9">
        <w:rPr>
          <w:lang w:val="fr-CA"/>
        </w:rPr>
        <w:t>(</w:t>
      </w:r>
      <w:r w:rsidR="457736D5" w:rsidRPr="00433FB9">
        <w:rPr>
          <w:lang w:val="fr-CA"/>
        </w:rPr>
        <w:t>s</w:t>
      </w:r>
      <w:r w:rsidR="3352B22E" w:rsidRPr="00433FB9">
        <w:rPr>
          <w:lang w:val="fr-CA"/>
        </w:rPr>
        <w:t>)</w:t>
      </w:r>
      <w:r w:rsidRPr="00433FB9">
        <w:rPr>
          <w:lang w:val="fr-CA"/>
        </w:rPr>
        <w:t xml:space="preserve"> peu</w:t>
      </w:r>
      <w:r w:rsidR="3352B22E" w:rsidRPr="00433FB9">
        <w:rPr>
          <w:lang w:val="fr-CA"/>
        </w:rPr>
        <w:t>(</w:t>
      </w:r>
      <w:proofErr w:type="spellStart"/>
      <w:r w:rsidRPr="00433FB9">
        <w:rPr>
          <w:lang w:val="fr-CA"/>
        </w:rPr>
        <w:t>ven</w:t>
      </w:r>
      <w:proofErr w:type="spellEnd"/>
      <w:r w:rsidR="3352B22E" w:rsidRPr="00433FB9">
        <w:rPr>
          <w:lang w:val="fr-CA"/>
        </w:rPr>
        <w:t>)</w:t>
      </w:r>
      <w:r w:rsidRPr="00433FB9">
        <w:rPr>
          <w:lang w:val="fr-CA"/>
        </w:rPr>
        <w:t>t</w:t>
      </w:r>
      <w:r w:rsidR="199E7C3A" w:rsidRPr="00433FB9">
        <w:rPr>
          <w:lang w:val="fr-CA"/>
        </w:rPr>
        <w:t xml:space="preserve"> demander au chercheur de fournir des informations complémentaires.</w:t>
      </w:r>
    </w:p>
    <w:p w14:paraId="7B1296F3" w14:textId="60BF1362" w:rsidR="00F3200B" w:rsidRPr="00433FB9" w:rsidRDefault="199E7C3A" w:rsidP="00D0261F">
      <w:pPr>
        <w:pStyle w:val="Titre3"/>
        <w:rPr>
          <w:lang w:val="fr-CA"/>
        </w:rPr>
      </w:pPr>
      <w:r w:rsidRPr="00433FB9">
        <w:rPr>
          <w:lang w:val="fr-CA"/>
        </w:rPr>
        <w:t>Lors de l’examen d’un événement à déclarer, le CER doit</w:t>
      </w:r>
      <w:r w:rsidR="34AD9801" w:rsidRPr="00433FB9">
        <w:rPr>
          <w:lang w:val="fr-CA"/>
        </w:rPr>
        <w:t> :</w:t>
      </w:r>
    </w:p>
    <w:p w14:paraId="1335E8DB" w14:textId="77777777" w:rsidR="00F3200B" w:rsidRPr="00433FB9" w:rsidRDefault="199E7C3A" w:rsidP="002431CB">
      <w:pPr>
        <w:pStyle w:val="Paragraphedeliste"/>
        <w:numPr>
          <w:ilvl w:val="0"/>
          <w:numId w:val="25"/>
        </w:numPr>
        <w:ind w:left="1418" w:hanging="284"/>
      </w:pPr>
      <w:proofErr w:type="gramStart"/>
      <w:r w:rsidRPr="00433FB9">
        <w:t>évaluer</w:t>
      </w:r>
      <w:proofErr w:type="gramEnd"/>
      <w:r w:rsidRPr="00433FB9">
        <w:t xml:space="preserve"> le caractère approprié de toute mesure corrective ou préventive proposée par le promoteur et/ou le chercheur;</w:t>
      </w:r>
    </w:p>
    <w:p w14:paraId="1632E7B6" w14:textId="77777777" w:rsidR="00F3200B" w:rsidRPr="00433FB9" w:rsidRDefault="199E7C3A" w:rsidP="002431CB">
      <w:pPr>
        <w:pStyle w:val="Paragraphedeliste"/>
        <w:numPr>
          <w:ilvl w:val="0"/>
          <w:numId w:val="25"/>
        </w:numPr>
        <w:ind w:left="1418" w:hanging="284"/>
      </w:pPr>
      <w:proofErr w:type="gramStart"/>
      <w:r w:rsidRPr="00433FB9">
        <w:t>envisager</w:t>
      </w:r>
      <w:proofErr w:type="gramEnd"/>
      <w:r w:rsidRPr="00433FB9">
        <w:t xml:space="preserve"> toute autre mesure appropriée pouvant ou non avoir été identifiée ou suggérée par le promoteur et/ou le chercheur;</w:t>
      </w:r>
    </w:p>
    <w:p w14:paraId="39EFF5E7" w14:textId="245BD65C" w:rsidR="00F3200B" w:rsidRPr="00433FB9" w:rsidRDefault="199E7C3A" w:rsidP="002431CB">
      <w:pPr>
        <w:pStyle w:val="Paragraphedeliste"/>
        <w:numPr>
          <w:ilvl w:val="0"/>
          <w:numId w:val="25"/>
        </w:numPr>
        <w:ind w:left="1418" w:hanging="284"/>
      </w:pPr>
      <w:proofErr w:type="gramStart"/>
      <w:r w:rsidRPr="00433FB9">
        <w:t>évaluer</w:t>
      </w:r>
      <w:proofErr w:type="gramEnd"/>
      <w:r w:rsidRPr="00433FB9">
        <w:t xml:space="preserve"> si le projet de recherche concerné satisfait encore aux exigences du CER pour le maintien de l’approbation, en particulier, si les risques pour les participants </w:t>
      </w:r>
      <w:r w:rsidR="1DE912EE" w:rsidRPr="00433FB9">
        <w:t>de</w:t>
      </w:r>
      <w:r w:rsidRPr="00433FB9">
        <w:t xml:space="preserve"> recherche sont encore </w:t>
      </w:r>
      <w:r w:rsidRPr="00433FB9">
        <w:lastRenderedPageBreak/>
        <w:t xml:space="preserve">réduits au minimum et raisonnables par rapport aux </w:t>
      </w:r>
      <w:r w:rsidR="2C12CAFB" w:rsidRPr="00433FB9">
        <w:t>avantages</w:t>
      </w:r>
      <w:r w:rsidRPr="00433FB9">
        <w:t>, s’il y en a, et si les connaissances raisonnablement attendues sont suffisamment importantes;</w:t>
      </w:r>
    </w:p>
    <w:p w14:paraId="45B96F04" w14:textId="53C6DEA7" w:rsidR="00F3200B" w:rsidRPr="00433FB9" w:rsidRDefault="199E7C3A" w:rsidP="002431CB">
      <w:pPr>
        <w:pStyle w:val="Paragraphedeliste"/>
        <w:numPr>
          <w:ilvl w:val="0"/>
          <w:numId w:val="25"/>
        </w:numPr>
        <w:ind w:left="1418" w:hanging="284"/>
      </w:pPr>
      <w:proofErr w:type="gramStart"/>
      <w:r w:rsidRPr="00433FB9">
        <w:t>vérifier</w:t>
      </w:r>
      <w:proofErr w:type="gramEnd"/>
      <w:r w:rsidRPr="00433FB9">
        <w:t xml:space="preserve"> si une partie ou l’ensemble des participants à la recherche doivent être </w:t>
      </w:r>
      <w:r w:rsidR="1DE912EE" w:rsidRPr="00433FB9">
        <w:t>avisés des</w:t>
      </w:r>
      <w:r w:rsidRPr="00433FB9">
        <w:t xml:space="preserve"> événements (c.-à-d. si ces événements peuvent influer sur la volonté des participants de continuer à participer au projet de recherche);</w:t>
      </w:r>
    </w:p>
    <w:p w14:paraId="75E4CCF5" w14:textId="77777777" w:rsidR="00F3200B" w:rsidRPr="00433FB9" w:rsidRDefault="199E7C3A" w:rsidP="002431CB">
      <w:pPr>
        <w:pStyle w:val="Paragraphedeliste"/>
        <w:numPr>
          <w:ilvl w:val="0"/>
          <w:numId w:val="25"/>
        </w:numPr>
        <w:ind w:left="1418" w:hanging="284"/>
      </w:pPr>
      <w:proofErr w:type="gramStart"/>
      <w:r w:rsidRPr="00433FB9">
        <w:t>évaluer</w:t>
      </w:r>
      <w:proofErr w:type="gramEnd"/>
      <w:r w:rsidRPr="00433FB9">
        <w:t xml:space="preserve"> si la suspension ou la révocation de l’approbation éthique du projet de recherche est indiquée.</w:t>
      </w:r>
    </w:p>
    <w:p w14:paraId="6597D168" w14:textId="0F2BF3E1" w:rsidR="00F3200B" w:rsidRPr="00433FB9" w:rsidRDefault="199E7C3A" w:rsidP="00B97C03">
      <w:pPr>
        <w:pStyle w:val="Titre3"/>
        <w:rPr>
          <w:lang w:val="fr-CA"/>
        </w:rPr>
      </w:pPr>
      <w:r w:rsidRPr="00433FB9">
        <w:rPr>
          <w:lang w:val="fr-CA"/>
        </w:rPr>
        <w:t xml:space="preserve">Les déviations concernant les atteintes à la vie privée sont évaluées par le président du CER ou son délégué. </w:t>
      </w:r>
      <w:r w:rsidR="70E08591" w:rsidRPr="00433FB9">
        <w:rPr>
          <w:lang w:val="fr-CA"/>
        </w:rPr>
        <w:t>Toutes les</w:t>
      </w:r>
      <w:r w:rsidRPr="00433FB9">
        <w:rPr>
          <w:lang w:val="fr-CA"/>
        </w:rPr>
        <w:t xml:space="preserve"> recommandations, y compris les mesures correctives, </w:t>
      </w:r>
      <w:r w:rsidR="70E08591" w:rsidRPr="00433FB9">
        <w:rPr>
          <w:lang w:val="fr-CA"/>
        </w:rPr>
        <w:t>sont</w:t>
      </w:r>
      <w:r w:rsidRPr="00433FB9">
        <w:rPr>
          <w:lang w:val="fr-CA"/>
        </w:rPr>
        <w:t xml:space="preserve"> formulées </w:t>
      </w:r>
      <w:r w:rsidR="70E08591" w:rsidRPr="00433FB9">
        <w:rPr>
          <w:lang w:val="fr-CA"/>
        </w:rPr>
        <w:t xml:space="preserve">en </w:t>
      </w:r>
      <w:r w:rsidRPr="00433FB9">
        <w:rPr>
          <w:lang w:val="fr-CA"/>
        </w:rPr>
        <w:t>consultation</w:t>
      </w:r>
      <w:r w:rsidR="70E08591" w:rsidRPr="00433FB9">
        <w:rPr>
          <w:lang w:val="fr-CA"/>
        </w:rPr>
        <w:t xml:space="preserve"> avec les </w:t>
      </w:r>
      <w:r w:rsidR="74957D8B" w:rsidRPr="00433FB9">
        <w:rPr>
          <w:lang w:val="fr-CA"/>
        </w:rPr>
        <w:t xml:space="preserve">représentants </w:t>
      </w:r>
      <w:r w:rsidR="70E08591" w:rsidRPr="00433FB9">
        <w:rPr>
          <w:lang w:val="fr-CA"/>
        </w:rPr>
        <w:t>de l’</w:t>
      </w:r>
      <w:r w:rsidR="71883F9E" w:rsidRPr="00433FB9">
        <w:rPr>
          <w:lang w:val="fr-CA"/>
        </w:rPr>
        <w:t>établissement</w:t>
      </w:r>
      <w:r w:rsidRPr="00433FB9">
        <w:rPr>
          <w:lang w:val="fr-CA"/>
        </w:rPr>
        <w:t>.</w:t>
      </w:r>
    </w:p>
    <w:p w14:paraId="0C496D1C" w14:textId="22B78484" w:rsidR="00F3200B" w:rsidRPr="00433FB9" w:rsidRDefault="199E7C3A" w:rsidP="00B97C03">
      <w:pPr>
        <w:pStyle w:val="Titre3"/>
        <w:rPr>
          <w:lang w:val="fr-CA"/>
        </w:rPr>
      </w:pPr>
      <w:r w:rsidRPr="00433FB9">
        <w:rPr>
          <w:lang w:val="fr-CA"/>
        </w:rPr>
        <w:t>Si l’événement ne soulève aucune préoccupation et ne semble pas comporter de risques pour les participants à la recherche ou d’autres personnes, le président du CER ou son délégué accuse réception de la déclaration et aucune autre mesure n’est nécessaire.</w:t>
      </w:r>
    </w:p>
    <w:p w14:paraId="77EB74FB" w14:textId="3257392A" w:rsidR="00F3200B" w:rsidRPr="00433FB9" w:rsidRDefault="199E7C3A" w:rsidP="00B97C03">
      <w:pPr>
        <w:pStyle w:val="Titre3"/>
        <w:rPr>
          <w:lang w:val="fr-CA"/>
        </w:rPr>
      </w:pPr>
      <w:r w:rsidRPr="00433FB9">
        <w:rPr>
          <w:lang w:val="fr-CA"/>
        </w:rPr>
        <w:t xml:space="preserve">Si le président du CER ou son délégué détermine qu’une mesure immédiate est exigée pour protéger la sécurité et le bien-être des participants de recherche, il </w:t>
      </w:r>
      <w:r w:rsidR="1DE912EE" w:rsidRPr="00433FB9">
        <w:rPr>
          <w:lang w:val="fr-CA"/>
        </w:rPr>
        <w:t>pourra</w:t>
      </w:r>
      <w:r w:rsidR="34AD9801" w:rsidRPr="00433FB9">
        <w:rPr>
          <w:lang w:val="fr-CA"/>
        </w:rPr>
        <w:t> :</w:t>
      </w:r>
    </w:p>
    <w:p w14:paraId="1EF3A8A9" w14:textId="77777777" w:rsidR="00F3200B" w:rsidRPr="00433FB9" w:rsidRDefault="199E7C3A" w:rsidP="002431CB">
      <w:pPr>
        <w:pStyle w:val="Paragraphedeliste"/>
        <w:numPr>
          <w:ilvl w:val="0"/>
          <w:numId w:val="25"/>
        </w:numPr>
        <w:ind w:left="1418" w:hanging="284"/>
      </w:pPr>
      <w:proofErr w:type="gramStart"/>
      <w:r w:rsidRPr="00433FB9">
        <w:t>suspendre</w:t>
      </w:r>
      <w:proofErr w:type="gramEnd"/>
      <w:r w:rsidRPr="00433FB9">
        <w:t xml:space="preserve"> le recrutement de nouveaux participants, incluant ceux qui sont au stade de sélection;</w:t>
      </w:r>
    </w:p>
    <w:p w14:paraId="049A2F65" w14:textId="41862EB7" w:rsidR="00F3200B" w:rsidRPr="00433FB9" w:rsidRDefault="199E7C3A" w:rsidP="002431CB">
      <w:pPr>
        <w:pStyle w:val="Paragraphedeliste"/>
        <w:numPr>
          <w:ilvl w:val="0"/>
          <w:numId w:val="25"/>
        </w:numPr>
        <w:ind w:left="1418" w:hanging="284"/>
      </w:pPr>
      <w:proofErr w:type="gramStart"/>
      <w:r w:rsidRPr="00433FB9">
        <w:t>suspendre</w:t>
      </w:r>
      <w:proofErr w:type="gramEnd"/>
      <w:r w:rsidRPr="00433FB9">
        <w:t xml:space="preserve"> l’approbation éthique du projet de recherche (donc, suspendre le projet de recherche);</w:t>
      </w:r>
    </w:p>
    <w:p w14:paraId="2A18DA8F" w14:textId="77777777" w:rsidR="00F3200B" w:rsidRPr="00433FB9" w:rsidRDefault="199E7C3A" w:rsidP="002431CB">
      <w:pPr>
        <w:pStyle w:val="Paragraphedeliste"/>
        <w:numPr>
          <w:ilvl w:val="0"/>
          <w:numId w:val="25"/>
        </w:numPr>
        <w:ind w:left="1418" w:hanging="284"/>
      </w:pPr>
      <w:proofErr w:type="gramStart"/>
      <w:r w:rsidRPr="00433FB9">
        <w:t>prendre</w:t>
      </w:r>
      <w:proofErr w:type="gramEnd"/>
      <w:r w:rsidRPr="00433FB9">
        <w:t xml:space="preserve"> toute autre mesure jugée nécessaire.</w:t>
      </w:r>
    </w:p>
    <w:p w14:paraId="16856184" w14:textId="74319051" w:rsidR="00F3200B" w:rsidRPr="00433FB9" w:rsidRDefault="199E7C3A" w:rsidP="00D0261F">
      <w:pPr>
        <w:pStyle w:val="Titre3"/>
        <w:rPr>
          <w:lang w:val="fr-CA"/>
        </w:rPr>
      </w:pPr>
      <w:r w:rsidRPr="00433FB9">
        <w:rPr>
          <w:lang w:val="fr-CA"/>
        </w:rPr>
        <w:t xml:space="preserve">Si l’événement soulève des préoccupations ou comporte des risques pour les participants à la recherche, de </w:t>
      </w:r>
      <w:r w:rsidR="6434606D" w:rsidRPr="00433FB9">
        <w:rPr>
          <w:lang w:val="fr-CA"/>
        </w:rPr>
        <w:t xml:space="preserve">telle </w:t>
      </w:r>
      <w:r w:rsidRPr="00433FB9">
        <w:rPr>
          <w:lang w:val="fr-CA"/>
        </w:rPr>
        <w:t>sorte que l’intervention du CER soit requise, l’événement doit être ensuite évalué en comité plénier.</w:t>
      </w:r>
    </w:p>
    <w:p w14:paraId="15FAB5F6" w14:textId="2E31DF8B" w:rsidR="00F3200B" w:rsidRPr="00433FB9" w:rsidRDefault="199E7C3A" w:rsidP="00D0261F">
      <w:pPr>
        <w:pStyle w:val="Titre3"/>
        <w:rPr>
          <w:lang w:val="fr-CA"/>
        </w:rPr>
      </w:pPr>
      <w:r w:rsidRPr="00433FB9">
        <w:rPr>
          <w:lang w:val="fr-CA"/>
        </w:rPr>
        <w:t>Dans les cas d’événements à déclarer ayant fait l’objet d’une évaluation en comité plénier, le CER détermine si d’autres mesures sont nécessaires. Les mesures pouvant être prises par le CER comprennent, sans toutefois s’y limiter, celles qui suivent</w:t>
      </w:r>
      <w:r w:rsidR="34AD9801" w:rsidRPr="00433FB9">
        <w:rPr>
          <w:lang w:val="fr-CA"/>
        </w:rPr>
        <w:t> :</w:t>
      </w:r>
    </w:p>
    <w:p w14:paraId="4E2349E6" w14:textId="77777777" w:rsidR="00F3200B" w:rsidRPr="00433FB9" w:rsidRDefault="199E7C3A" w:rsidP="002431CB">
      <w:pPr>
        <w:pStyle w:val="Paragraphedeliste"/>
        <w:numPr>
          <w:ilvl w:val="0"/>
          <w:numId w:val="25"/>
        </w:numPr>
        <w:ind w:left="1418" w:hanging="284"/>
      </w:pPr>
      <w:proofErr w:type="gramStart"/>
      <w:r w:rsidRPr="00433FB9">
        <w:t>suspendre</w:t>
      </w:r>
      <w:proofErr w:type="gramEnd"/>
      <w:r w:rsidRPr="00433FB9">
        <w:t xml:space="preserve"> le déroulement du projet de recherche en attendant de recevoir les clarifications nécessaires de la part du chercheur;</w:t>
      </w:r>
    </w:p>
    <w:p w14:paraId="3AD6EADA" w14:textId="77777777" w:rsidR="00F3200B" w:rsidRPr="00433FB9" w:rsidRDefault="199E7C3A" w:rsidP="002431CB">
      <w:pPr>
        <w:pStyle w:val="Paragraphedeliste"/>
        <w:numPr>
          <w:ilvl w:val="0"/>
          <w:numId w:val="25"/>
        </w:numPr>
        <w:ind w:left="1418" w:hanging="284"/>
      </w:pPr>
      <w:proofErr w:type="gramStart"/>
      <w:r w:rsidRPr="00433FB9">
        <w:t>demander</w:t>
      </w:r>
      <w:proofErr w:type="gramEnd"/>
      <w:r w:rsidRPr="00433FB9">
        <w:t xml:space="preserve"> d’apporter des modifications au projet de recherche;</w:t>
      </w:r>
    </w:p>
    <w:p w14:paraId="61FC6F0E" w14:textId="77777777" w:rsidR="00F3200B" w:rsidRPr="00433FB9" w:rsidRDefault="199E7C3A" w:rsidP="002431CB">
      <w:pPr>
        <w:pStyle w:val="Paragraphedeliste"/>
        <w:numPr>
          <w:ilvl w:val="0"/>
          <w:numId w:val="25"/>
        </w:numPr>
        <w:ind w:left="1418" w:hanging="284"/>
      </w:pPr>
      <w:proofErr w:type="gramStart"/>
      <w:r w:rsidRPr="00433FB9">
        <w:t>demander</w:t>
      </w:r>
      <w:proofErr w:type="gramEnd"/>
      <w:r w:rsidRPr="00433FB9">
        <w:t xml:space="preserve"> d’apporter des modifications au formulaire d’information et de consentement;</w:t>
      </w:r>
    </w:p>
    <w:p w14:paraId="2C3D5F54" w14:textId="77777777" w:rsidR="00F3200B" w:rsidRPr="00433FB9" w:rsidRDefault="199E7C3A" w:rsidP="002431CB">
      <w:pPr>
        <w:pStyle w:val="Paragraphedeliste"/>
        <w:numPr>
          <w:ilvl w:val="0"/>
          <w:numId w:val="25"/>
        </w:numPr>
        <w:ind w:left="1418" w:hanging="284"/>
      </w:pPr>
      <w:proofErr w:type="gramStart"/>
      <w:r w:rsidRPr="00433FB9">
        <w:t>demander</w:t>
      </w:r>
      <w:proofErr w:type="gramEnd"/>
      <w:r w:rsidRPr="00433FB9">
        <w:t xml:space="preserve"> de fournir des renseignements supplémentaires aux anciens participants;</w:t>
      </w:r>
    </w:p>
    <w:p w14:paraId="497EDAEE" w14:textId="296F7775" w:rsidR="00F3200B" w:rsidRPr="00433FB9" w:rsidRDefault="199E7C3A" w:rsidP="002431CB">
      <w:pPr>
        <w:pStyle w:val="Paragraphedeliste"/>
        <w:numPr>
          <w:ilvl w:val="0"/>
          <w:numId w:val="25"/>
        </w:numPr>
        <w:ind w:left="1418" w:hanging="284"/>
      </w:pPr>
      <w:proofErr w:type="gramStart"/>
      <w:r w:rsidRPr="00433FB9">
        <w:t>demander</w:t>
      </w:r>
      <w:proofErr w:type="gramEnd"/>
      <w:r w:rsidRPr="00433FB9">
        <w:t xml:space="preserve"> que les participants dont la participation est en cours soient avisés lorsqu’un tel renseignement peut influer sur leur volonté de continuer à prendre part au projet de recherche et exiger que ces participants </w:t>
      </w:r>
      <w:r w:rsidR="31AAFC57" w:rsidRPr="00433FB9">
        <w:t>re</w:t>
      </w:r>
      <w:r w:rsidR="1DE912EE" w:rsidRPr="00433FB9">
        <w:t>consent</w:t>
      </w:r>
      <w:r w:rsidR="31AAFC57" w:rsidRPr="00433FB9">
        <w:t>issent</w:t>
      </w:r>
      <w:r w:rsidR="1DE912EE" w:rsidRPr="00433FB9">
        <w:t xml:space="preserve"> </w:t>
      </w:r>
      <w:r w:rsidR="31AAFC57" w:rsidRPr="00433FB9">
        <w:t>afin</w:t>
      </w:r>
      <w:r w:rsidRPr="00433FB9">
        <w:t xml:space="preserve"> de poursuivre leur participation;</w:t>
      </w:r>
    </w:p>
    <w:p w14:paraId="22A1A5E5" w14:textId="046F0F7C" w:rsidR="00F3200B" w:rsidRPr="00433FB9" w:rsidRDefault="199E7C3A" w:rsidP="002431CB">
      <w:pPr>
        <w:pStyle w:val="Paragraphedeliste"/>
        <w:numPr>
          <w:ilvl w:val="0"/>
          <w:numId w:val="25"/>
        </w:numPr>
        <w:ind w:left="1418" w:hanging="284"/>
      </w:pPr>
      <w:proofErr w:type="gramStart"/>
      <w:r w:rsidRPr="00433FB9">
        <w:t>moduler</w:t>
      </w:r>
      <w:proofErr w:type="gramEnd"/>
      <w:r w:rsidRPr="00433FB9">
        <w:t xml:space="preserve"> la fréquence du renouvellement </w:t>
      </w:r>
      <w:r w:rsidR="2647F73F" w:rsidRPr="00433FB9">
        <w:t xml:space="preserve">annuel </w:t>
      </w:r>
      <w:r w:rsidRPr="00433FB9">
        <w:t xml:space="preserve">de </w:t>
      </w:r>
      <w:r w:rsidR="2647F73F" w:rsidRPr="00433FB9">
        <w:t>l'approbation</w:t>
      </w:r>
      <w:r w:rsidRPr="00433FB9">
        <w:t xml:space="preserve"> éthique;</w:t>
      </w:r>
    </w:p>
    <w:p w14:paraId="2E65F5F8" w14:textId="77777777" w:rsidR="00F3200B" w:rsidRPr="00433FB9" w:rsidRDefault="199E7C3A" w:rsidP="002431CB">
      <w:pPr>
        <w:pStyle w:val="Paragraphedeliste"/>
        <w:numPr>
          <w:ilvl w:val="0"/>
          <w:numId w:val="25"/>
        </w:numPr>
        <w:ind w:left="1418" w:hanging="284"/>
      </w:pPr>
      <w:proofErr w:type="gramStart"/>
      <w:r w:rsidRPr="00433FB9">
        <w:t>observer</w:t>
      </w:r>
      <w:proofErr w:type="gramEnd"/>
      <w:r w:rsidRPr="00433FB9">
        <w:t xml:space="preserve"> le déroulement du projet de recherche ou du processus de consentement;</w:t>
      </w:r>
    </w:p>
    <w:p w14:paraId="1899F247" w14:textId="77777777" w:rsidR="00F3200B" w:rsidRPr="00433FB9" w:rsidRDefault="199E7C3A" w:rsidP="002431CB">
      <w:pPr>
        <w:pStyle w:val="Paragraphedeliste"/>
        <w:numPr>
          <w:ilvl w:val="0"/>
          <w:numId w:val="25"/>
        </w:numPr>
        <w:ind w:left="1418" w:hanging="284"/>
      </w:pPr>
      <w:proofErr w:type="gramStart"/>
      <w:r w:rsidRPr="00433FB9">
        <w:t>exiger</w:t>
      </w:r>
      <w:proofErr w:type="gramEnd"/>
      <w:r w:rsidRPr="00433FB9">
        <w:t xml:space="preserve"> qu’une formation supplémentaire soit suivie par le chercheur et le personnel de recherche;</w:t>
      </w:r>
    </w:p>
    <w:p w14:paraId="64F056B2" w14:textId="77777777" w:rsidR="00F3200B" w:rsidRPr="00433FB9" w:rsidRDefault="199E7C3A" w:rsidP="002431CB">
      <w:pPr>
        <w:pStyle w:val="Paragraphedeliste"/>
        <w:numPr>
          <w:ilvl w:val="0"/>
          <w:numId w:val="25"/>
        </w:numPr>
        <w:ind w:left="1418" w:hanging="284"/>
      </w:pPr>
      <w:proofErr w:type="gramStart"/>
      <w:r w:rsidRPr="00433FB9">
        <w:t>suspendre</w:t>
      </w:r>
      <w:proofErr w:type="gramEnd"/>
      <w:r w:rsidRPr="00433FB9">
        <w:t xml:space="preserve"> le projet de recherche ou y mettre fin;</w:t>
      </w:r>
    </w:p>
    <w:p w14:paraId="733AE0C0" w14:textId="77777777" w:rsidR="00F3200B" w:rsidRPr="00433FB9" w:rsidRDefault="199E7C3A" w:rsidP="002431CB">
      <w:pPr>
        <w:pStyle w:val="Paragraphedeliste"/>
        <w:numPr>
          <w:ilvl w:val="0"/>
          <w:numId w:val="25"/>
        </w:numPr>
        <w:ind w:left="1418" w:hanging="284"/>
      </w:pPr>
      <w:proofErr w:type="gramStart"/>
      <w:r w:rsidRPr="00433FB9">
        <w:lastRenderedPageBreak/>
        <w:t>si</w:t>
      </w:r>
      <w:proofErr w:type="gramEnd"/>
      <w:r w:rsidRPr="00433FB9">
        <w:t xml:space="preserve"> le CER détermine que l’événement ne soulève aucune préoccupation au sujet des risques encourus par les participants à la recherche, le CER pourrait décider qu’aucune mesure supplémentaire n’est nécessaire.</w:t>
      </w:r>
    </w:p>
    <w:p w14:paraId="34CD09C8" w14:textId="77777777" w:rsidR="00F3200B" w:rsidRPr="002431CB" w:rsidRDefault="199E7C3A" w:rsidP="002431CB">
      <w:pPr>
        <w:pStyle w:val="Titre3"/>
        <w:rPr>
          <w:lang w:val="fr-CA"/>
        </w:rPr>
      </w:pPr>
      <w:r w:rsidRPr="002431CB">
        <w:rPr>
          <w:lang w:val="fr-CA"/>
        </w:rPr>
        <w:t>Modifications relatives au consentement</w:t>
      </w:r>
    </w:p>
    <w:p w14:paraId="38FD0404" w14:textId="0FAECE43" w:rsidR="00F3200B" w:rsidRPr="00182032" w:rsidRDefault="1B020BE8" w:rsidP="00A81357">
      <w:pPr>
        <w:pStyle w:val="Titre4"/>
      </w:pPr>
      <w:r w:rsidRPr="00182032">
        <w:t xml:space="preserve">Survenue </w:t>
      </w:r>
      <w:r w:rsidR="41BCEAF3" w:rsidRPr="00182032">
        <w:t>d’informations</w:t>
      </w:r>
      <w:r w:rsidR="199E7C3A" w:rsidRPr="00182032">
        <w:t xml:space="preserve"> pertinentes </w:t>
      </w:r>
      <w:r w:rsidR="41BCEAF3" w:rsidRPr="00182032">
        <w:t>au</w:t>
      </w:r>
      <w:r w:rsidR="199E7C3A" w:rsidRPr="00182032">
        <w:t xml:space="preserve"> consentement au cours du projet de recherche ou après que celui-ci soit </w:t>
      </w:r>
      <w:proofErr w:type="gramStart"/>
      <w:r w:rsidR="199E7C3A" w:rsidRPr="00182032">
        <w:t>terminé</w:t>
      </w:r>
      <w:r w:rsidR="34AD9801" w:rsidRPr="00182032">
        <w:t> :</w:t>
      </w:r>
      <w:proofErr w:type="gramEnd"/>
    </w:p>
    <w:p w14:paraId="5D8FD66F" w14:textId="63287E60" w:rsidR="00F3200B" w:rsidRPr="00433FB9" w:rsidRDefault="199E7C3A" w:rsidP="00A81357">
      <w:pPr>
        <w:pStyle w:val="Paragraphedeliste"/>
        <w:numPr>
          <w:ilvl w:val="0"/>
          <w:numId w:val="25"/>
        </w:numPr>
        <w:ind w:left="1418" w:hanging="284"/>
      </w:pPr>
      <w:r w:rsidRPr="00433FB9">
        <w:t>Le CER évalue et approuve les nouvelles informations à porter à l’attention des participants d’un projet de recherche en cours, le processus de divulgation des effets potentiels sur la santé à long terme pendant ou après la participation au projet de recherche et, finalement, les modifications au formulaire d’information et de consentement qui requièrent la transmission de ces nouvelles informations aux participants</w:t>
      </w:r>
      <w:r w:rsidR="00B130E6" w:rsidRPr="00A81357">
        <w:footnoteReference w:id="4"/>
      </w:r>
      <w:r w:rsidRPr="00433FB9">
        <w:t>.</w:t>
      </w:r>
    </w:p>
    <w:p w14:paraId="72223703" w14:textId="32588DEE" w:rsidR="00F3200B" w:rsidRPr="00433FB9" w:rsidRDefault="199E7C3A" w:rsidP="00A81357">
      <w:pPr>
        <w:pStyle w:val="Titre4"/>
      </w:pPr>
      <w:r w:rsidRPr="00433FB9">
        <w:t>Le chercheur informe les participants de toute nouvelle information pouvant influer sur leur volonté de continuer à participer au projet de recherche (</w:t>
      </w:r>
      <w:proofErr w:type="gramStart"/>
      <w:r w:rsidRPr="00433FB9">
        <w:t>ex.</w:t>
      </w:r>
      <w:r w:rsidR="34AD9801" w:rsidRPr="00433FB9">
        <w:t> :</w:t>
      </w:r>
      <w:proofErr w:type="gramEnd"/>
      <w:r w:rsidRPr="00433FB9">
        <w:t xml:space="preserve"> s’il y a un changement significatif au projet de recherche ou aux risques potentiels</w:t>
      </w:r>
      <w:r w:rsidR="00B130E6" w:rsidRPr="00A81357">
        <w:footnoteReference w:id="5"/>
      </w:r>
      <w:r w:rsidRPr="00433FB9">
        <w:t>) et de toute nouvelle information relative aux effets potentiels du projet de recherche sur leur santé à long terme, et ce, même si leur participation au projet de recherche est terminée.</w:t>
      </w:r>
    </w:p>
    <w:p w14:paraId="25A5745D" w14:textId="48E7908B" w:rsidR="00F3200B" w:rsidRPr="00433FB9" w:rsidRDefault="199E7C3A" w:rsidP="5871B364">
      <w:pPr>
        <w:pStyle w:val="Titre4"/>
        <w:rPr>
          <w:lang w:val="fr-CA"/>
        </w:rPr>
      </w:pPr>
      <w:r w:rsidRPr="00433FB9">
        <w:rPr>
          <w:lang w:val="fr-CA"/>
        </w:rPr>
        <w:t>Le CER détermine</w:t>
      </w:r>
      <w:r w:rsidR="34AD9801" w:rsidRPr="00433FB9">
        <w:rPr>
          <w:lang w:val="fr-CA"/>
        </w:rPr>
        <w:t> :</w:t>
      </w:r>
    </w:p>
    <w:p w14:paraId="576DDA71" w14:textId="16488533" w:rsidR="00F3200B" w:rsidRPr="00433FB9" w:rsidRDefault="199E7C3A" w:rsidP="002F5105">
      <w:pPr>
        <w:numPr>
          <w:ilvl w:val="0"/>
          <w:numId w:val="22"/>
        </w:numPr>
        <w:ind w:left="1710" w:hanging="547"/>
      </w:pPr>
      <w:proofErr w:type="gramStart"/>
      <w:r w:rsidRPr="00433FB9">
        <w:t>la</w:t>
      </w:r>
      <w:proofErr w:type="gramEnd"/>
      <w:r w:rsidRPr="00433FB9">
        <w:t xml:space="preserve"> nature des nouvelles informations à transmettre aux participants du projet de recherche dont la participation est en cours ainsi que la documentation requise à cet effet;</w:t>
      </w:r>
    </w:p>
    <w:p w14:paraId="2C6205E8" w14:textId="77777777" w:rsidR="00F3200B" w:rsidRPr="00433FB9" w:rsidRDefault="199E7C3A" w:rsidP="002F5105">
      <w:pPr>
        <w:numPr>
          <w:ilvl w:val="0"/>
          <w:numId w:val="22"/>
        </w:numPr>
        <w:ind w:left="1710" w:hanging="547"/>
      </w:pPr>
      <w:proofErr w:type="gramStart"/>
      <w:r w:rsidRPr="00433FB9">
        <w:t>si</w:t>
      </w:r>
      <w:proofErr w:type="gramEnd"/>
      <w:r w:rsidRPr="00433FB9">
        <w:t xml:space="preserve"> un formulaire de consentement modifié, contenant les informations mises à jour, est requis;</w:t>
      </w:r>
    </w:p>
    <w:p w14:paraId="47895B7D" w14:textId="70E1011B" w:rsidR="00F3200B" w:rsidRPr="00433FB9" w:rsidRDefault="199E7C3A" w:rsidP="002F5105">
      <w:pPr>
        <w:numPr>
          <w:ilvl w:val="0"/>
          <w:numId w:val="22"/>
        </w:numPr>
        <w:ind w:left="1710" w:hanging="547"/>
      </w:pPr>
      <w:proofErr w:type="gramStart"/>
      <w:r w:rsidRPr="00433FB9">
        <w:t>le</w:t>
      </w:r>
      <w:proofErr w:type="gramEnd"/>
      <w:r w:rsidRPr="00433FB9">
        <w:t xml:space="preserve"> processus à mettre en place pour permettre aux participants de </w:t>
      </w:r>
      <w:r w:rsidR="163738D2" w:rsidRPr="00433FB9">
        <w:t>reconsentir</w:t>
      </w:r>
      <w:r w:rsidRPr="00433FB9">
        <w:t xml:space="preserve"> à participer au projet de recherche en cours</w:t>
      </w:r>
      <w:r w:rsidR="00B130E6" w:rsidRPr="00433FB9">
        <w:rPr>
          <w:rStyle w:val="Appelnotedebasdep"/>
        </w:rPr>
        <w:footnoteReference w:id="6"/>
      </w:r>
      <w:r w:rsidRPr="00433FB9">
        <w:t>.</w:t>
      </w:r>
    </w:p>
    <w:p w14:paraId="7B87ABD0" w14:textId="445A56D7" w:rsidR="00F3200B" w:rsidRPr="00433FB9" w:rsidRDefault="199E7C3A" w:rsidP="5871B364">
      <w:pPr>
        <w:pStyle w:val="Titre4"/>
        <w:rPr>
          <w:lang w:val="fr-CA"/>
        </w:rPr>
      </w:pPr>
      <w:r w:rsidRPr="00433FB9">
        <w:rPr>
          <w:lang w:val="fr-CA"/>
        </w:rPr>
        <w:t xml:space="preserve">S’il y a lieu, le CER </w:t>
      </w:r>
      <w:r w:rsidR="41BCEAF3" w:rsidRPr="00433FB9">
        <w:rPr>
          <w:lang w:val="fr-CA"/>
        </w:rPr>
        <w:t>pourrait</w:t>
      </w:r>
      <w:r w:rsidRPr="00433FB9">
        <w:rPr>
          <w:lang w:val="fr-CA"/>
        </w:rPr>
        <w:t xml:space="preserve"> permettre qu’un consentement soit obtenu verbalement en communiquant avec le participant à la recherche lors d’un entretien téléphonique au cours duquel les informations mises à jour lui seraient communiquées</w:t>
      </w:r>
      <w:r w:rsidR="00B97C03" w:rsidRPr="00433FB9">
        <w:rPr>
          <w:rStyle w:val="Appelnotedebasdep"/>
        </w:rPr>
        <w:footnoteReference w:id="7"/>
      </w:r>
      <w:r w:rsidRPr="00433FB9">
        <w:rPr>
          <w:lang w:val="fr-CA"/>
        </w:rPr>
        <w:t>. Son consentement à la poursuite de sa participation sera documenté.</w:t>
      </w:r>
    </w:p>
    <w:p w14:paraId="1ED74FDD" w14:textId="77777777" w:rsidR="00F3200B" w:rsidRPr="00433FB9" w:rsidRDefault="199E7C3A" w:rsidP="5871B364">
      <w:pPr>
        <w:pStyle w:val="Titre4"/>
        <w:rPr>
          <w:lang w:val="fr-CA"/>
        </w:rPr>
      </w:pPr>
      <w:r w:rsidRPr="00433FB9">
        <w:rPr>
          <w:lang w:val="fr-CA"/>
        </w:rPr>
        <w:lastRenderedPageBreak/>
        <w:t>Le chercheur doit informer les anciens participants à la recherche de toute nouvelle information pouvant être pertinente pour leur santé à long terme en communiquant avec eux par téléphone, par courrier ou en personne, s’il y a lieu.</w:t>
      </w:r>
    </w:p>
    <w:p w14:paraId="2303A05E" w14:textId="23266C7A" w:rsidR="00756C58" w:rsidRPr="00433FB9" w:rsidRDefault="002E18ED" w:rsidP="00133159">
      <w:pPr>
        <w:pStyle w:val="Titre1"/>
      </w:pPr>
      <w:bookmarkStart w:id="23" w:name="_Toc88487689"/>
      <w:bookmarkStart w:id="24" w:name="_Toc19874241"/>
      <w:r w:rsidRPr="00433FB9">
        <w:t>R</w:t>
      </w:r>
      <w:r w:rsidR="00ED30D3" w:rsidRPr="00433FB9">
        <w:t>é</w:t>
      </w:r>
      <w:r w:rsidR="00756C58" w:rsidRPr="00433FB9">
        <w:t>f</w:t>
      </w:r>
      <w:r w:rsidR="00ED30D3" w:rsidRPr="00433FB9">
        <w:t>é</w:t>
      </w:r>
      <w:r w:rsidR="00756C58" w:rsidRPr="00433FB9">
        <w:t>rences</w:t>
      </w:r>
      <w:bookmarkEnd w:id="23"/>
      <w:bookmarkEnd w:id="24"/>
    </w:p>
    <w:p w14:paraId="6A6F1328" w14:textId="188C4374" w:rsidR="00F3200B" w:rsidRPr="00433FB9" w:rsidRDefault="00F3200B" w:rsidP="00F81D07">
      <w:r w:rsidRPr="00433FB9">
        <w:t>Voir les notes en bas de page ainsi que les références suivantes</w:t>
      </w:r>
      <w:r w:rsidR="00B130E6" w:rsidRPr="00433FB9">
        <w:t> :</w:t>
      </w:r>
    </w:p>
    <w:p w14:paraId="423ED22D" w14:textId="77777777" w:rsidR="00F3200B" w:rsidRPr="00433FB9" w:rsidRDefault="199E7C3A" w:rsidP="00B130E6">
      <w:pPr>
        <w:pStyle w:val="SOPBulletA"/>
        <w:jc w:val="left"/>
        <w:rPr>
          <w:lang w:val="en-CA"/>
        </w:rPr>
      </w:pPr>
      <w:r w:rsidRPr="00433FB9">
        <w:t xml:space="preserve">Association canadienne des comités d’éthique de la recherche. </w:t>
      </w:r>
      <w:r w:rsidRPr="00433FB9">
        <w:rPr>
          <w:lang w:val="en-CA"/>
        </w:rPr>
        <w:t xml:space="preserve">History of the Development of the Guidance on Reporting of Unanticipated Problems Including Adverse Events to Research Ethics Boards in Canada, </w:t>
      </w:r>
      <w:proofErr w:type="spellStart"/>
      <w:r w:rsidRPr="00433FB9">
        <w:rPr>
          <w:lang w:val="en-CA"/>
        </w:rPr>
        <w:t>juillet</w:t>
      </w:r>
      <w:proofErr w:type="spellEnd"/>
      <w:r w:rsidRPr="00433FB9">
        <w:rPr>
          <w:lang w:val="en-CA"/>
        </w:rPr>
        <w:t xml:space="preserve"> 2010.</w:t>
      </w:r>
    </w:p>
    <w:p w14:paraId="7F11F0B8" w14:textId="65514A51" w:rsidR="00F3200B" w:rsidRPr="00433FB9" w:rsidRDefault="199E7C3A" w:rsidP="00B130E6">
      <w:pPr>
        <w:pStyle w:val="SOPBulletA"/>
        <w:jc w:val="left"/>
      </w:pPr>
      <w:r w:rsidRPr="00433FB9">
        <w:t>ICH thème</w:t>
      </w:r>
      <w:r w:rsidR="20877F4C" w:rsidRPr="00433FB9">
        <w:t> </w:t>
      </w:r>
      <w:r w:rsidRPr="00433FB9">
        <w:t>E2A, 2.A.2.</w:t>
      </w:r>
    </w:p>
    <w:p w14:paraId="6E4CC405" w14:textId="7A9CE448" w:rsidR="00F3200B" w:rsidRPr="00433FB9" w:rsidRDefault="199E7C3A" w:rsidP="00B130E6">
      <w:pPr>
        <w:pStyle w:val="SOPBulletA"/>
        <w:jc w:val="left"/>
      </w:pPr>
      <w:r w:rsidRPr="00433FB9">
        <w:t>Addenda intégré de l’E6</w:t>
      </w:r>
      <w:r w:rsidR="20877F4C" w:rsidRPr="00433FB9">
        <w:t xml:space="preserve"> </w:t>
      </w:r>
      <w:r w:rsidRPr="00433FB9">
        <w:t>(R1) ICH thème</w:t>
      </w:r>
      <w:r w:rsidR="20877F4C" w:rsidRPr="00433FB9">
        <w:t> </w:t>
      </w:r>
      <w:r w:rsidRPr="00433FB9">
        <w:t>E6</w:t>
      </w:r>
      <w:r w:rsidR="20877F4C" w:rsidRPr="00433FB9">
        <w:t xml:space="preserve"> </w:t>
      </w:r>
      <w:r w:rsidRPr="00433FB9">
        <w:t>(R2)</w:t>
      </w:r>
      <w:r w:rsidR="34AD9801" w:rsidRPr="00433FB9">
        <w:t> :</w:t>
      </w:r>
      <w:r w:rsidRPr="00433FB9">
        <w:t xml:space="preserve"> Ligne directrice</w:t>
      </w:r>
      <w:r w:rsidR="34AD9801" w:rsidRPr="00433FB9">
        <w:t> :</w:t>
      </w:r>
      <w:r w:rsidRPr="00433FB9">
        <w:t xml:space="preserve"> Bonnes pratiques cliniques, Santé Canada, avril</w:t>
      </w:r>
      <w:r w:rsidR="20877F4C" w:rsidRPr="00433FB9">
        <w:t> </w:t>
      </w:r>
      <w:r w:rsidRPr="00433FB9">
        <w:t>2019, section</w:t>
      </w:r>
      <w:r w:rsidR="34AD9801" w:rsidRPr="00433FB9">
        <w:t> </w:t>
      </w:r>
      <w:r w:rsidRPr="00433FB9">
        <w:t>5.17.</w:t>
      </w:r>
    </w:p>
    <w:p w14:paraId="1208D35A" w14:textId="5BB29575" w:rsidR="00F3200B" w:rsidRPr="00433FB9" w:rsidRDefault="199E7C3A" w:rsidP="00B130E6">
      <w:pPr>
        <w:pStyle w:val="SOPBulletA"/>
        <w:jc w:val="left"/>
      </w:pPr>
      <w:r w:rsidRPr="00433FB9">
        <w:t>N2 ACCER CER MON (SOP), publiés le 29 septembre</w:t>
      </w:r>
      <w:r w:rsidR="20877F4C" w:rsidRPr="00433FB9">
        <w:t> </w:t>
      </w:r>
      <w:r w:rsidRPr="00433FB9">
        <w:t>2014. [En ligne] [</w:t>
      </w:r>
      <w:hyperlink r:id="rId11" w:history="1">
        <w:r w:rsidRPr="00433FB9">
          <w:rPr>
            <w:rStyle w:val="Lienhypertexte"/>
          </w:rPr>
          <w:t>https://oicronca.app.box.com/s/95k7ydj574579ajvbe06/folder/3403170068</w:t>
        </w:r>
      </w:hyperlink>
      <w:r w:rsidRPr="00433FB9">
        <w:t>] (Consulté le 28 janvier</w:t>
      </w:r>
      <w:r w:rsidR="20877F4C" w:rsidRPr="00433FB9">
        <w:t> </w:t>
      </w:r>
      <w:r w:rsidRPr="00433FB9">
        <w:t>2019).</w:t>
      </w:r>
    </w:p>
    <w:p w14:paraId="77A0EDF2" w14:textId="093B87E3" w:rsidR="00F3200B" w:rsidRPr="00433FB9" w:rsidRDefault="199E7C3A" w:rsidP="00B130E6">
      <w:pPr>
        <w:pStyle w:val="SOPBulletA"/>
        <w:jc w:val="left"/>
      </w:pPr>
      <w:r w:rsidRPr="00433FB9">
        <w:rPr>
          <w:lang w:val="en-CA"/>
        </w:rPr>
        <w:t xml:space="preserve">Office </w:t>
      </w:r>
      <w:r w:rsidR="307137FD" w:rsidRPr="00433FB9">
        <w:rPr>
          <w:lang w:val="en-CA"/>
        </w:rPr>
        <w:t xml:space="preserve">for </w:t>
      </w:r>
      <w:r w:rsidRPr="00433FB9">
        <w:rPr>
          <w:lang w:val="en-CA"/>
        </w:rPr>
        <w:t xml:space="preserve">Human Research Protections (OHRP) and Department of Health and Human Services (HHS). Guidance on Reviewing and Reporting Unanticipated Problems Involving Risks to Subjects or Others and Adverse Events. </w:t>
      </w:r>
      <w:r w:rsidRPr="00433FB9">
        <w:t>[En ligne] [</w:t>
      </w:r>
      <w:hyperlink r:id="rId12" w:history="1">
        <w:r w:rsidRPr="00433FB9">
          <w:rPr>
            <w:rStyle w:val="Lienhypertexte"/>
          </w:rPr>
          <w:t>http://www.hhs.gov/ohrp/policy/advevntguid.pdf</w:t>
        </w:r>
      </w:hyperlink>
      <w:r w:rsidRPr="00433FB9">
        <w:t>] (Consulté le 28 janvier</w:t>
      </w:r>
      <w:r w:rsidR="20877F4C" w:rsidRPr="00433FB9">
        <w:t> </w:t>
      </w:r>
      <w:r w:rsidRPr="00433FB9">
        <w:t>2019).</w:t>
      </w:r>
    </w:p>
    <w:p w14:paraId="73D55D57" w14:textId="504A7649" w:rsidR="00F3200B" w:rsidRPr="00433FB9" w:rsidRDefault="199E7C3A" w:rsidP="00B130E6">
      <w:pPr>
        <w:pStyle w:val="SOPBulletA"/>
        <w:jc w:val="left"/>
      </w:pPr>
      <w:r w:rsidRPr="00433FB9">
        <w:t>Conseil de recherches en sciences humaines, Conseil de recherches en sciences naturelles et en génie du Canada, Instituts de recherche en santé du Canada, É</w:t>
      </w:r>
      <w:r w:rsidRPr="00433FB9">
        <w:rPr>
          <w:i/>
          <w:iCs/>
        </w:rPr>
        <w:t xml:space="preserve">noncé de politique des trois </w:t>
      </w:r>
      <w:r w:rsidR="307137FD" w:rsidRPr="00433FB9">
        <w:rPr>
          <w:i/>
          <w:iCs/>
        </w:rPr>
        <w:t>c</w:t>
      </w:r>
      <w:r w:rsidRPr="00433FB9">
        <w:rPr>
          <w:i/>
          <w:iCs/>
        </w:rPr>
        <w:t>onseils</w:t>
      </w:r>
      <w:r w:rsidR="34AD9801" w:rsidRPr="00433FB9">
        <w:rPr>
          <w:i/>
          <w:iCs/>
        </w:rPr>
        <w:t> :</w:t>
      </w:r>
      <w:r w:rsidRPr="00433FB9">
        <w:rPr>
          <w:i/>
          <w:iCs/>
        </w:rPr>
        <w:t xml:space="preserve"> Éthique de la recherche avec des êtres humains</w:t>
      </w:r>
      <w:r w:rsidRPr="00433FB9">
        <w:t xml:space="preserve"> (</w:t>
      </w:r>
      <w:r w:rsidRPr="00433FB9">
        <w:rPr>
          <w:i/>
          <w:iCs/>
        </w:rPr>
        <w:t>EPTC</w:t>
      </w:r>
      <w:r w:rsidR="20877F4C" w:rsidRPr="00433FB9">
        <w:rPr>
          <w:i/>
          <w:iCs/>
        </w:rPr>
        <w:t> </w:t>
      </w:r>
      <w:r w:rsidRPr="00433FB9">
        <w:rPr>
          <w:i/>
          <w:iCs/>
        </w:rPr>
        <w:t>2</w:t>
      </w:r>
      <w:r w:rsidRPr="00433FB9">
        <w:t>-2018)</w:t>
      </w:r>
      <w:r w:rsidR="20877F4C" w:rsidRPr="00433FB9">
        <w:t>.</w:t>
      </w:r>
      <w:r w:rsidRPr="00433FB9">
        <w:t xml:space="preserve"> [En ligne] [</w:t>
      </w:r>
      <w:hyperlink r:id="rId13" w:history="1">
        <w:r w:rsidRPr="00433FB9">
          <w:rPr>
            <w:rStyle w:val="Lienhypertexte"/>
          </w:rPr>
          <w:t>http://www.ger.ethique.gc.ca/pdf/fra/eptc2-2018/EPTC_2_FINALE_Web.pdf</w:t>
        </w:r>
      </w:hyperlink>
      <w:r w:rsidRPr="00433FB9">
        <w:t>] (Consulté le 28 janvier</w:t>
      </w:r>
      <w:r w:rsidR="20877F4C" w:rsidRPr="00433FB9">
        <w:t> </w:t>
      </w:r>
      <w:r w:rsidRPr="00433FB9">
        <w:t>2019).</w:t>
      </w:r>
    </w:p>
    <w:p w14:paraId="5B6AB955" w14:textId="081EC54C" w:rsidR="00F3200B" w:rsidRPr="00433FB9" w:rsidRDefault="199E7C3A" w:rsidP="00B130E6">
      <w:pPr>
        <w:pStyle w:val="SOPBulletA"/>
        <w:jc w:val="left"/>
        <w:rPr>
          <w:lang w:val="en-CA"/>
        </w:rPr>
      </w:pPr>
      <w:r w:rsidRPr="00433FB9">
        <w:rPr>
          <w:lang w:val="en-CA"/>
        </w:rPr>
        <w:t>USA Food and Drug Administration. Code of Federal Regulations, Title</w:t>
      </w:r>
      <w:r w:rsidR="20877F4C" w:rsidRPr="00433FB9">
        <w:rPr>
          <w:lang w:val="en-CA"/>
        </w:rPr>
        <w:t> </w:t>
      </w:r>
      <w:r w:rsidRPr="00433FB9">
        <w:rPr>
          <w:lang w:val="en-CA"/>
        </w:rPr>
        <w:t>21, Part</w:t>
      </w:r>
      <w:r w:rsidR="20877F4C" w:rsidRPr="00433FB9">
        <w:rPr>
          <w:lang w:val="en-CA"/>
        </w:rPr>
        <w:t> </w:t>
      </w:r>
      <w:r w:rsidRPr="00433FB9">
        <w:rPr>
          <w:lang w:val="en-CA"/>
        </w:rPr>
        <w:t>56.108 (b).</w:t>
      </w:r>
    </w:p>
    <w:p w14:paraId="2854CCEB" w14:textId="27E0F0C5" w:rsidR="00F3200B" w:rsidRPr="00433FB9" w:rsidRDefault="199E7C3A" w:rsidP="00B130E6">
      <w:pPr>
        <w:pStyle w:val="SOPBulletA"/>
        <w:jc w:val="left"/>
      </w:pPr>
      <w:r w:rsidRPr="00433FB9">
        <w:rPr>
          <w:lang w:val="en-CA"/>
        </w:rPr>
        <w:t xml:space="preserve">US Department of Health and Human Services. Guidance for Clinical Investigators, Sponsors, and IRBs Adverse Event Reporting, </w:t>
      </w:r>
      <w:proofErr w:type="spellStart"/>
      <w:r w:rsidRPr="00433FB9">
        <w:rPr>
          <w:lang w:val="en-CA"/>
        </w:rPr>
        <w:t>janvier</w:t>
      </w:r>
      <w:proofErr w:type="spellEnd"/>
      <w:r w:rsidR="20877F4C" w:rsidRPr="00433FB9">
        <w:rPr>
          <w:lang w:val="en-CA"/>
        </w:rPr>
        <w:t> </w:t>
      </w:r>
      <w:r w:rsidRPr="00433FB9">
        <w:rPr>
          <w:lang w:val="en-CA"/>
        </w:rPr>
        <w:t xml:space="preserve">2009. </w:t>
      </w:r>
      <w:r w:rsidRPr="00433FB9">
        <w:t>[En ligne] [</w:t>
      </w:r>
      <w:hyperlink r:id="rId14" w:history="1">
        <w:r w:rsidRPr="00433FB9">
          <w:rPr>
            <w:rStyle w:val="Lienhypertexte"/>
          </w:rPr>
          <w:t>http://www.fda.gov/downloads/Drugs/GuidanceComplianceRegulatoryInformation/Guidances/ucm079753.pdf</w:t>
        </w:r>
      </w:hyperlink>
      <w:r w:rsidRPr="00433FB9">
        <w:t>] (Consulté le 28 janvier</w:t>
      </w:r>
      <w:r w:rsidR="20877F4C" w:rsidRPr="00433FB9">
        <w:t> </w:t>
      </w:r>
      <w:r w:rsidRPr="00433FB9">
        <w:t>2019).</w:t>
      </w:r>
    </w:p>
    <w:p w14:paraId="7DAAB75F" w14:textId="46CD7563" w:rsidR="00756C58" w:rsidRPr="00433FB9" w:rsidRDefault="00347179" w:rsidP="00133159">
      <w:pPr>
        <w:pStyle w:val="Titre1"/>
      </w:pPr>
      <w:bookmarkStart w:id="25" w:name="_Toc19874242"/>
      <w:bookmarkStart w:id="26" w:name="_Toc88487690"/>
      <w:r w:rsidRPr="00433FB9">
        <w:t xml:space="preserve">Historique des </w:t>
      </w:r>
      <w:bookmarkEnd w:id="25"/>
      <w:r w:rsidR="005361D0" w:rsidRPr="00433FB9">
        <w:t>r</w:t>
      </w:r>
      <w:r w:rsidRPr="00433FB9">
        <w:t>é</w:t>
      </w:r>
      <w:r w:rsidR="00756C58" w:rsidRPr="00433FB9">
        <w:t>vision</w:t>
      </w:r>
      <w:r w:rsidRPr="00433FB9">
        <w:t>s</w:t>
      </w:r>
      <w:bookmarkEnd w:id="26"/>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433FB9" w14:paraId="48F7327B" w14:textId="77777777" w:rsidTr="00F81D07">
        <w:trPr>
          <w:tblHeader/>
        </w:trPr>
        <w:tc>
          <w:tcPr>
            <w:tcW w:w="2439" w:type="dxa"/>
            <w:tcBorders>
              <w:right w:val="single" w:sz="4" w:space="0" w:color="auto"/>
            </w:tcBorders>
            <w:shd w:val="clear" w:color="auto" w:fill="auto"/>
            <w:vAlign w:val="center"/>
          </w:tcPr>
          <w:p w14:paraId="1949C2F5" w14:textId="02C999CD" w:rsidR="00756C58" w:rsidRPr="00433FB9" w:rsidRDefault="00347179" w:rsidP="00133159">
            <w:pPr>
              <w:spacing w:before="0" w:after="0"/>
              <w:jc w:val="center"/>
              <w:rPr>
                <w:rFonts w:eastAsia="Calibri"/>
                <w:b/>
              </w:rPr>
            </w:pPr>
            <w:r w:rsidRPr="00433FB9">
              <w:rPr>
                <w:rFonts w:eastAsia="Calibri"/>
                <w:b/>
              </w:rPr>
              <w:t xml:space="preserve">Code </w:t>
            </w:r>
            <w:r w:rsidR="00474636" w:rsidRPr="00433FB9">
              <w:rPr>
                <w:rFonts w:eastAsia="Calibri"/>
                <w:b/>
              </w:rPr>
              <w:t xml:space="preserve">du </w:t>
            </w:r>
            <w:r w:rsidRPr="00433FB9">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433FB9" w:rsidRDefault="00474636" w:rsidP="00133159">
            <w:pPr>
              <w:spacing w:before="0" w:after="0"/>
              <w:jc w:val="center"/>
              <w:rPr>
                <w:rFonts w:eastAsia="Calibri"/>
                <w:b/>
              </w:rPr>
            </w:pPr>
            <w:r w:rsidRPr="00433FB9">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433FB9" w:rsidRDefault="00347179" w:rsidP="00133159">
            <w:pPr>
              <w:spacing w:before="0" w:after="0"/>
              <w:jc w:val="left"/>
              <w:rPr>
                <w:rFonts w:eastAsia="Calibri"/>
                <w:b/>
              </w:rPr>
            </w:pPr>
            <w:r w:rsidRPr="00433FB9">
              <w:rPr>
                <w:rFonts w:eastAsia="Calibri"/>
                <w:b/>
              </w:rPr>
              <w:t xml:space="preserve">Résumé des </w:t>
            </w:r>
            <w:r w:rsidR="00474636" w:rsidRPr="00433FB9">
              <w:rPr>
                <w:rFonts w:eastAsia="Calibri"/>
                <w:b/>
              </w:rPr>
              <w:t>modifications</w:t>
            </w:r>
          </w:p>
        </w:tc>
      </w:tr>
      <w:tr w:rsidR="00B97C03" w:rsidRPr="00433FB9" w14:paraId="4D71CB09" w14:textId="77777777" w:rsidTr="00F81D07">
        <w:tc>
          <w:tcPr>
            <w:tcW w:w="2439" w:type="dxa"/>
            <w:tcBorders>
              <w:right w:val="single" w:sz="4" w:space="0" w:color="auto"/>
            </w:tcBorders>
            <w:shd w:val="clear" w:color="auto" w:fill="auto"/>
          </w:tcPr>
          <w:p w14:paraId="4E586DA7" w14:textId="46F4E4AE" w:rsidR="00B97C03" w:rsidRPr="00433FB9" w:rsidRDefault="00B97C03" w:rsidP="00B97C03">
            <w:pPr>
              <w:spacing w:before="0" w:after="0"/>
              <w:jc w:val="left"/>
              <w:rPr>
                <w:rFonts w:eastAsia="Calibri" w:cs="Arial"/>
              </w:rPr>
            </w:pPr>
            <w:r w:rsidRPr="00433FB9">
              <w:t>MON-CER</w:t>
            </w:r>
            <w:r w:rsidR="008C5E10" w:rsidRPr="00433FB9">
              <w:t> </w:t>
            </w:r>
            <w:r w:rsidRPr="00433FB9">
              <w:t>405A-001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5EA579C3" w:rsidR="00B97C03" w:rsidRPr="00433FB9" w:rsidRDefault="00B97C03" w:rsidP="00B97C03">
            <w:pPr>
              <w:spacing w:before="0" w:after="0"/>
              <w:jc w:val="center"/>
              <w:rPr>
                <w:rFonts w:eastAsia="Calibri"/>
              </w:rPr>
            </w:pPr>
            <w:r w:rsidRPr="00433FB9">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15703B65" w:rsidR="00B97C03" w:rsidRPr="00433FB9" w:rsidRDefault="00B97C03" w:rsidP="00B97C03">
            <w:pPr>
              <w:spacing w:before="0" w:after="0"/>
              <w:jc w:val="left"/>
              <w:rPr>
                <w:rFonts w:eastAsia="Calibri"/>
              </w:rPr>
            </w:pPr>
            <w:r w:rsidRPr="00433FB9">
              <w:t>Version originale</w:t>
            </w:r>
          </w:p>
        </w:tc>
      </w:tr>
      <w:tr w:rsidR="00B97C03" w:rsidRPr="00433FB9" w14:paraId="3C8E0466" w14:textId="77777777" w:rsidTr="00F81D07">
        <w:tc>
          <w:tcPr>
            <w:tcW w:w="2439" w:type="dxa"/>
            <w:tcBorders>
              <w:right w:val="single" w:sz="4" w:space="0" w:color="auto"/>
            </w:tcBorders>
            <w:shd w:val="clear" w:color="auto" w:fill="auto"/>
          </w:tcPr>
          <w:p w14:paraId="2187091D" w14:textId="6544C9DF" w:rsidR="00B97C03" w:rsidRPr="00433FB9" w:rsidRDefault="00B97C03" w:rsidP="00B97C03">
            <w:pPr>
              <w:spacing w:before="0" w:after="0"/>
              <w:jc w:val="left"/>
              <w:rPr>
                <w:rFonts w:eastAsia="Calibri"/>
              </w:rPr>
            </w:pPr>
            <w:r w:rsidRPr="00433FB9">
              <w:t>MON-CER</w:t>
            </w:r>
            <w:r w:rsidR="008C5E10" w:rsidRPr="00433FB9">
              <w:t> </w:t>
            </w:r>
            <w:r w:rsidRPr="00433FB9">
              <w:t>404-002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4C36CD91" w:rsidR="00B97C03" w:rsidRPr="00433FB9" w:rsidRDefault="00B97C03" w:rsidP="00B97C03">
            <w:pPr>
              <w:spacing w:before="0" w:after="0"/>
              <w:jc w:val="center"/>
              <w:rPr>
                <w:rFonts w:eastAsia="Calibri"/>
              </w:rPr>
            </w:pPr>
            <w:r w:rsidRPr="00433FB9">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ED2B93" w14:textId="77777777" w:rsidR="00B97C03" w:rsidRPr="00433FB9" w:rsidRDefault="00B97C03" w:rsidP="00B97C03">
            <w:pPr>
              <w:spacing w:before="0" w:after="0"/>
              <w:jc w:val="left"/>
            </w:pPr>
            <w:r w:rsidRPr="00433FB9">
              <w:t>Mise à jour en fonction de la réglementation en vigueur</w:t>
            </w:r>
          </w:p>
          <w:p w14:paraId="36DC4D4B" w14:textId="78AD9106" w:rsidR="00B97C03" w:rsidRPr="00433FB9" w:rsidRDefault="00B97C03" w:rsidP="00B97C03">
            <w:pPr>
              <w:spacing w:before="0" w:after="0"/>
              <w:jc w:val="left"/>
              <w:rPr>
                <w:rFonts w:eastAsia="Calibri"/>
              </w:rPr>
            </w:pPr>
            <w:r w:rsidRPr="00433FB9">
              <w:t>Mise à jour des références</w:t>
            </w:r>
          </w:p>
        </w:tc>
      </w:tr>
      <w:tr w:rsidR="00756C58" w:rsidRPr="00433FB9" w14:paraId="4C850D18" w14:textId="77777777" w:rsidTr="00474636">
        <w:tc>
          <w:tcPr>
            <w:tcW w:w="2439" w:type="dxa"/>
            <w:tcBorders>
              <w:right w:val="single" w:sz="4" w:space="0" w:color="auto"/>
            </w:tcBorders>
            <w:shd w:val="clear" w:color="auto" w:fill="auto"/>
            <w:vAlign w:val="center"/>
          </w:tcPr>
          <w:p w14:paraId="2F4B81D7" w14:textId="77777777" w:rsidR="00756C58" w:rsidRPr="00433FB9"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433FB9"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433FB9" w:rsidRDefault="00756C58" w:rsidP="00133159">
            <w:pPr>
              <w:spacing w:before="0" w:after="0"/>
              <w:jc w:val="left"/>
              <w:rPr>
                <w:rFonts w:eastAsia="Calibri"/>
              </w:rPr>
            </w:pPr>
          </w:p>
        </w:tc>
      </w:tr>
    </w:tbl>
    <w:p w14:paraId="27543BF8" w14:textId="213C028B" w:rsidR="00756C58" w:rsidRPr="00433FB9" w:rsidRDefault="00AF73C4" w:rsidP="00133159">
      <w:pPr>
        <w:pStyle w:val="Titre1"/>
      </w:pPr>
      <w:bookmarkStart w:id="27" w:name="_Toc88487691"/>
      <w:bookmarkStart w:id="28" w:name="_Toc19874243"/>
      <w:r w:rsidRPr="00433FB9">
        <w:lastRenderedPageBreak/>
        <w:t>Annexes</w:t>
      </w:r>
      <w:bookmarkEnd w:id="27"/>
      <w:bookmarkEnd w:id="28"/>
    </w:p>
    <w:p w14:paraId="658D624C" w14:textId="77777777" w:rsidR="00756C58" w:rsidRPr="007D2AD3" w:rsidRDefault="00756C58" w:rsidP="00F81D07"/>
    <w:sectPr w:rsidR="00756C58" w:rsidRPr="007D2AD3" w:rsidSect="0030269A">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E8FD" w14:textId="77777777" w:rsidR="00A62E8B" w:rsidRDefault="00A62E8B" w:rsidP="0030269A">
      <w:pPr>
        <w:spacing w:before="0" w:after="0"/>
      </w:pPr>
      <w:r>
        <w:separator/>
      </w:r>
    </w:p>
  </w:endnote>
  <w:endnote w:type="continuationSeparator" w:id="0">
    <w:p w14:paraId="2D9C9DDA" w14:textId="77777777" w:rsidR="00A62E8B" w:rsidRDefault="00A62E8B" w:rsidP="0030269A">
      <w:pPr>
        <w:spacing w:before="0" w:after="0"/>
      </w:pPr>
      <w:r>
        <w:continuationSeparator/>
      </w:r>
    </w:p>
  </w:endnote>
  <w:endnote w:type="continuationNotice" w:id="1">
    <w:p w14:paraId="4FE7F8EC" w14:textId="77777777" w:rsidR="00A62E8B" w:rsidRDefault="00A62E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1874" w14:textId="77777777" w:rsidR="00EC43E5" w:rsidRDefault="00EC43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8D4E" w14:textId="443A8AE8" w:rsidR="008D7C76" w:rsidRPr="00627E38" w:rsidRDefault="008D7C76" w:rsidP="008D7C76">
    <w:pPr>
      <w:pStyle w:val="Pieddepage"/>
      <w:pBdr>
        <w:bottom w:val="single" w:sz="4" w:space="1" w:color="auto"/>
      </w:pBdr>
      <w:rPr>
        <w:sz w:val="20"/>
        <w:szCs w:val="20"/>
      </w:rPr>
    </w:pPr>
  </w:p>
  <w:p w14:paraId="253699E3" w14:textId="6586CE5D" w:rsidR="008D7C76" w:rsidRPr="00433FB9" w:rsidRDefault="00EC43E5" w:rsidP="00433FB9">
    <w:pPr>
      <w:spacing w:before="0" w:after="0"/>
      <w:ind w:left="567" w:hanging="567"/>
      <w:jc w:val="left"/>
      <w:rPr>
        <w:rFonts w:eastAsia="Times New Roman"/>
        <w:lang w:val="fr-FR"/>
      </w:rPr>
    </w:pPr>
    <w:r>
      <w:rPr>
        <w:rFonts w:eastAsia="Times New Roman"/>
        <w:color w:val="A6A6A6"/>
        <w:sz w:val="20"/>
        <w:szCs w:val="20"/>
      </w:rPr>
      <w:t>MON N2 ACCER actualisé suivant les normes québécoises </w:t>
    </w:r>
    <w:r w:rsidR="00433FB9" w:rsidRPr="00433FB9">
      <w:rPr>
        <w:rFonts w:eastAsia="Times New Roman"/>
        <w:color w:val="A6A6A6"/>
        <w:sz w:val="20"/>
        <w:szCs w:val="20"/>
      </w:rPr>
      <w:tab/>
    </w:r>
    <w:r w:rsidR="00433FB9" w:rsidRPr="00433FB9">
      <w:rPr>
        <w:rFonts w:eastAsia="Times New Roman"/>
        <w:color w:val="A6A6A6"/>
        <w:sz w:val="20"/>
        <w:szCs w:val="20"/>
      </w:rPr>
      <w:tab/>
    </w:r>
    <w:r w:rsidR="00433FB9">
      <w:rPr>
        <w:rFonts w:eastAsia="Times New Roman"/>
        <w:color w:val="A6A6A6"/>
        <w:sz w:val="20"/>
        <w:szCs w:val="20"/>
      </w:rPr>
      <w:tab/>
    </w:r>
    <w:r w:rsidR="00433FB9" w:rsidRPr="00433FB9">
      <w:rPr>
        <w:rFonts w:eastAsia="Times New Roman"/>
        <w:color w:val="A6A6A6"/>
        <w:sz w:val="20"/>
        <w:szCs w:val="20"/>
      </w:rPr>
      <w:tab/>
    </w:r>
    <w:r w:rsidR="00433FB9" w:rsidRPr="00433FB9">
      <w:rPr>
        <w:rFonts w:eastAsia="Times New Roman"/>
        <w:color w:val="A6A6A6"/>
        <w:sz w:val="20"/>
        <w:szCs w:val="20"/>
      </w:rPr>
      <w:tab/>
    </w:r>
    <w:r w:rsidR="008D7C76" w:rsidRPr="00433FB9">
      <w:rPr>
        <w:rFonts w:cstheme="minorHAnsi"/>
        <w:sz w:val="20"/>
        <w:szCs w:val="20"/>
      </w:rPr>
      <w:tab/>
      <w:t xml:space="preserve">Page </w:t>
    </w:r>
    <w:r w:rsidR="008D7C76" w:rsidRPr="00433FB9">
      <w:rPr>
        <w:rFonts w:cstheme="minorHAnsi"/>
        <w:sz w:val="20"/>
        <w:szCs w:val="20"/>
        <w:lang w:val="fr-FR"/>
      </w:rPr>
      <w:fldChar w:fldCharType="begin"/>
    </w:r>
    <w:r w:rsidR="008D7C76" w:rsidRPr="00433FB9">
      <w:rPr>
        <w:rFonts w:cstheme="minorHAnsi"/>
        <w:sz w:val="20"/>
        <w:szCs w:val="20"/>
      </w:rPr>
      <w:instrText xml:space="preserve"> PAGE </w:instrText>
    </w:r>
    <w:r w:rsidR="008D7C76" w:rsidRPr="00433FB9">
      <w:rPr>
        <w:rFonts w:cstheme="minorHAnsi"/>
        <w:sz w:val="20"/>
        <w:szCs w:val="20"/>
        <w:lang w:val="en-CA"/>
      </w:rPr>
      <w:fldChar w:fldCharType="separate"/>
    </w:r>
    <w:r w:rsidR="00F81D07" w:rsidRPr="00433FB9">
      <w:rPr>
        <w:rFonts w:cstheme="minorHAnsi"/>
        <w:noProof/>
        <w:sz w:val="20"/>
        <w:szCs w:val="20"/>
      </w:rPr>
      <w:t>5</w:t>
    </w:r>
    <w:r w:rsidR="008D7C76" w:rsidRPr="00433FB9">
      <w:rPr>
        <w:rFonts w:cstheme="minorHAnsi"/>
        <w:sz w:val="20"/>
        <w:szCs w:val="20"/>
        <w:lang w:val="fr-FR"/>
      </w:rPr>
      <w:fldChar w:fldCharType="end"/>
    </w:r>
    <w:r w:rsidR="008D7C76" w:rsidRPr="00433FB9">
      <w:rPr>
        <w:rFonts w:cstheme="minorHAnsi"/>
        <w:sz w:val="20"/>
        <w:szCs w:val="20"/>
      </w:rPr>
      <w:t xml:space="preserve"> de </w:t>
    </w:r>
    <w:r w:rsidR="008D7C76" w:rsidRPr="00433FB9">
      <w:rPr>
        <w:rFonts w:cstheme="minorHAnsi"/>
        <w:sz w:val="20"/>
        <w:szCs w:val="20"/>
        <w:lang w:val="fr-FR"/>
      </w:rPr>
      <w:fldChar w:fldCharType="begin"/>
    </w:r>
    <w:r w:rsidR="008D7C76" w:rsidRPr="00433FB9">
      <w:rPr>
        <w:rFonts w:cstheme="minorHAnsi"/>
        <w:sz w:val="20"/>
        <w:szCs w:val="20"/>
      </w:rPr>
      <w:instrText xml:space="preserve"> NUMPAGES </w:instrText>
    </w:r>
    <w:r w:rsidR="008D7C76" w:rsidRPr="00433FB9">
      <w:rPr>
        <w:rFonts w:cstheme="minorHAnsi"/>
        <w:sz w:val="20"/>
        <w:szCs w:val="20"/>
        <w:lang w:val="en-CA"/>
      </w:rPr>
      <w:fldChar w:fldCharType="separate"/>
    </w:r>
    <w:r w:rsidR="00F81D07" w:rsidRPr="00433FB9">
      <w:rPr>
        <w:rFonts w:cstheme="minorHAnsi"/>
        <w:noProof/>
        <w:sz w:val="20"/>
        <w:szCs w:val="20"/>
      </w:rPr>
      <w:t>13</w:t>
    </w:r>
    <w:r w:rsidR="008D7C76" w:rsidRPr="00433FB9">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44D9" w14:textId="77777777" w:rsidR="00EC43E5" w:rsidRDefault="00EC43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67BA" w14:textId="77777777" w:rsidR="00A62E8B" w:rsidRDefault="00A62E8B" w:rsidP="0030269A">
      <w:pPr>
        <w:spacing w:before="0" w:after="0"/>
      </w:pPr>
      <w:r>
        <w:separator/>
      </w:r>
    </w:p>
  </w:footnote>
  <w:footnote w:type="continuationSeparator" w:id="0">
    <w:p w14:paraId="70DF17EE" w14:textId="77777777" w:rsidR="00A62E8B" w:rsidRDefault="00A62E8B" w:rsidP="0030269A">
      <w:pPr>
        <w:spacing w:before="0" w:after="0"/>
      </w:pPr>
      <w:r>
        <w:continuationSeparator/>
      </w:r>
    </w:p>
  </w:footnote>
  <w:footnote w:type="continuationNotice" w:id="1">
    <w:p w14:paraId="2D826721" w14:textId="77777777" w:rsidR="00A62E8B" w:rsidRDefault="00A62E8B">
      <w:pPr>
        <w:spacing w:before="0" w:after="0"/>
      </w:pPr>
    </w:p>
  </w:footnote>
  <w:footnote w:id="2">
    <w:p w14:paraId="48F12654" w14:textId="5DCAE81B" w:rsidR="00B97C03" w:rsidRDefault="00B97C03">
      <w:pPr>
        <w:pStyle w:val="Notedebasdepage"/>
      </w:pPr>
      <w:r w:rsidRPr="00433FB9">
        <w:rPr>
          <w:rStyle w:val="Appelnotedebasdep"/>
        </w:rPr>
        <w:footnoteRef/>
      </w:r>
      <w:r w:rsidRPr="00433FB9">
        <w:t xml:space="preserve"> </w:t>
      </w:r>
      <w:r w:rsidRPr="00433FB9">
        <w:tab/>
        <w:t>Voir MON 503-002</w:t>
      </w:r>
      <w:r w:rsidR="005A3FEB" w:rsidRPr="00433FB9">
        <w:t>.</w:t>
      </w:r>
    </w:p>
  </w:footnote>
  <w:footnote w:id="3">
    <w:p w14:paraId="1582F35D" w14:textId="4CF5795B" w:rsidR="00B130E6" w:rsidRDefault="00B130E6">
      <w:pPr>
        <w:pStyle w:val="Notedebasdepage"/>
      </w:pPr>
      <w:r>
        <w:rPr>
          <w:rStyle w:val="Appelnotedebasdep"/>
        </w:rPr>
        <w:footnoteRef/>
      </w:r>
      <w:r>
        <w:t xml:space="preserve"> </w:t>
      </w:r>
      <w:r w:rsidRPr="00F81D07">
        <w:tab/>
      </w:r>
      <w:r w:rsidRPr="00B130E6">
        <w:rPr>
          <w:i/>
          <w:iCs/>
        </w:rPr>
        <w:t>Code civil du Québec</w:t>
      </w:r>
      <w:r w:rsidRPr="00B130E6">
        <w:t xml:space="preserve">, </w:t>
      </w:r>
      <w:r>
        <w:t>art. </w:t>
      </w:r>
      <w:r w:rsidRPr="00B130E6">
        <w:t>10 al. 2, 20 et 21.</w:t>
      </w:r>
    </w:p>
  </w:footnote>
  <w:footnote w:id="4">
    <w:p w14:paraId="2385111A" w14:textId="5DD2A849" w:rsidR="00B130E6" w:rsidRPr="001E71D0" w:rsidRDefault="00B130E6" w:rsidP="00F81D07">
      <w:pPr>
        <w:pStyle w:val="Notedebasdepage"/>
      </w:pPr>
      <w:r w:rsidRPr="001E71D0">
        <w:rPr>
          <w:rStyle w:val="Appelnotedebasdep"/>
        </w:rPr>
        <w:footnoteRef/>
      </w:r>
      <w:r w:rsidRPr="001E71D0">
        <w:t xml:space="preserve"> </w:t>
      </w:r>
      <w:r w:rsidRPr="001E71D0">
        <w:tab/>
        <w:t xml:space="preserve">Conseil de recherches en sciences humaines, Conseil de recherches en sciences naturelles et en génie du Canada, Instituts de recherche en santé du Canada, </w:t>
      </w:r>
      <w:r w:rsidRPr="001E71D0">
        <w:rPr>
          <w:i/>
          <w:iCs/>
        </w:rPr>
        <w:t>Énoncé de politique des trois Conseils : Éthique de la recherche avec des êtres humains</w:t>
      </w:r>
      <w:r w:rsidRPr="001E71D0">
        <w:t>, 2018, art. 6.16</w:t>
      </w:r>
      <w:r w:rsidR="00354738" w:rsidRPr="001E71D0">
        <w:t>, ci-après « </w:t>
      </w:r>
      <w:r w:rsidR="00354738" w:rsidRPr="001E71D0">
        <w:rPr>
          <w:i/>
          <w:iCs/>
        </w:rPr>
        <w:t>EPTC</w:t>
      </w:r>
      <w:r w:rsidR="008C5E10" w:rsidRPr="001E71D0">
        <w:rPr>
          <w:i/>
          <w:iCs/>
        </w:rPr>
        <w:t> </w:t>
      </w:r>
      <w:r w:rsidR="00354738" w:rsidRPr="001E71D0">
        <w:rPr>
          <w:i/>
          <w:iCs/>
        </w:rPr>
        <w:t>2</w:t>
      </w:r>
      <w:r w:rsidR="00354738" w:rsidRPr="001E71D0">
        <w:t> »</w:t>
      </w:r>
      <w:r w:rsidRPr="001E71D0">
        <w:t>.</w:t>
      </w:r>
    </w:p>
  </w:footnote>
  <w:footnote w:id="5">
    <w:p w14:paraId="7656FD41" w14:textId="6415DE62" w:rsidR="00B130E6" w:rsidRDefault="00B130E6" w:rsidP="00F81D07">
      <w:pPr>
        <w:pStyle w:val="Notedebasdepage"/>
      </w:pPr>
      <w:r w:rsidRPr="001E71D0">
        <w:rPr>
          <w:rStyle w:val="Appelnotedebasdep"/>
        </w:rPr>
        <w:footnoteRef/>
      </w:r>
      <w:r w:rsidRPr="001E71D0">
        <w:t xml:space="preserve"> </w:t>
      </w:r>
      <w:r w:rsidRPr="001E71D0">
        <w:tab/>
      </w:r>
      <w:r w:rsidRPr="001E71D0">
        <w:rPr>
          <w:i/>
          <w:iCs/>
        </w:rPr>
        <w:t>EPTC 2</w:t>
      </w:r>
      <w:r w:rsidRPr="001E71D0">
        <w:t xml:space="preserve">, art. 3.3 et 6.15; </w:t>
      </w:r>
      <w:r w:rsidRPr="001E71D0">
        <w:rPr>
          <w:i/>
          <w:iCs/>
        </w:rPr>
        <w:t>Lignes directrices</w:t>
      </w:r>
      <w:r w:rsidR="00354738" w:rsidRPr="001E71D0">
        <w:rPr>
          <w:i/>
          <w:iCs/>
        </w:rPr>
        <w:t xml:space="preserve"> –</w:t>
      </w:r>
      <w:r w:rsidRPr="001E71D0">
        <w:rPr>
          <w:i/>
          <w:iCs/>
        </w:rPr>
        <w:t xml:space="preserve"> Bonnes pratiques cliniques</w:t>
      </w:r>
      <w:r w:rsidR="00354738" w:rsidRPr="001E71D0">
        <w:rPr>
          <w:i/>
          <w:iCs/>
        </w:rPr>
        <w:t> :</w:t>
      </w:r>
      <w:r w:rsidRPr="001E71D0">
        <w:rPr>
          <w:i/>
          <w:iCs/>
        </w:rPr>
        <w:t xml:space="preserve"> Addenda intégré de l’E6</w:t>
      </w:r>
      <w:r w:rsidR="008C5E10" w:rsidRPr="001E71D0">
        <w:rPr>
          <w:i/>
          <w:iCs/>
        </w:rPr>
        <w:t xml:space="preserve"> </w:t>
      </w:r>
      <w:r w:rsidRPr="001E71D0">
        <w:rPr>
          <w:i/>
          <w:iCs/>
        </w:rPr>
        <w:t>(R1) ICH thème</w:t>
      </w:r>
      <w:r w:rsidR="008C5E10" w:rsidRPr="001E71D0">
        <w:rPr>
          <w:i/>
          <w:iCs/>
        </w:rPr>
        <w:t> </w:t>
      </w:r>
      <w:r w:rsidRPr="001E71D0">
        <w:rPr>
          <w:i/>
          <w:iCs/>
        </w:rPr>
        <w:t>E6</w:t>
      </w:r>
      <w:r w:rsidR="008C5E10" w:rsidRPr="001E71D0">
        <w:rPr>
          <w:i/>
          <w:iCs/>
        </w:rPr>
        <w:t xml:space="preserve"> </w:t>
      </w:r>
      <w:r w:rsidRPr="001E71D0">
        <w:rPr>
          <w:i/>
          <w:iCs/>
        </w:rPr>
        <w:t>(R2)</w:t>
      </w:r>
      <w:r w:rsidRPr="001E71D0">
        <w:t>, Santé Canada, avril</w:t>
      </w:r>
      <w:r w:rsidR="008C5E10" w:rsidRPr="001E71D0">
        <w:t> </w:t>
      </w:r>
      <w:r w:rsidRPr="001E71D0">
        <w:t>2019, section 4.8.2.</w:t>
      </w:r>
    </w:p>
  </w:footnote>
  <w:footnote w:id="6">
    <w:p w14:paraId="2ADC680E" w14:textId="36014FA9" w:rsidR="00B130E6" w:rsidRDefault="00B130E6" w:rsidP="00F81D07">
      <w:pPr>
        <w:pStyle w:val="Notedebasdepage"/>
      </w:pPr>
      <w:r>
        <w:rPr>
          <w:rStyle w:val="Appelnotedebasdep"/>
        </w:rPr>
        <w:footnoteRef/>
      </w:r>
      <w:r>
        <w:t xml:space="preserve"> </w:t>
      </w:r>
      <w:r>
        <w:tab/>
      </w:r>
      <w:r w:rsidRPr="00B130E6">
        <w:t>Rappelons que le consentement de participation à une recherche peut être révoqué en tout temps, même verbalement. Voir</w:t>
      </w:r>
      <w:r>
        <w:t> :</w:t>
      </w:r>
      <w:r w:rsidRPr="00B130E6">
        <w:t xml:space="preserve"> </w:t>
      </w:r>
      <w:r w:rsidRPr="00B130E6">
        <w:rPr>
          <w:i/>
          <w:iCs/>
        </w:rPr>
        <w:t>Code civil du Québec</w:t>
      </w:r>
      <w:r w:rsidRPr="00B130E6">
        <w:t xml:space="preserve">, </w:t>
      </w:r>
      <w:r>
        <w:t>art. </w:t>
      </w:r>
      <w:r w:rsidRPr="00B130E6">
        <w:t>24 al. 3.</w:t>
      </w:r>
    </w:p>
  </w:footnote>
  <w:footnote w:id="7">
    <w:p w14:paraId="0AE81ABA" w14:textId="6B59DC1C" w:rsidR="00B97C03" w:rsidRDefault="00B97C03" w:rsidP="00F81D07">
      <w:pPr>
        <w:pStyle w:val="Notedebasdepage"/>
      </w:pPr>
      <w:r>
        <w:rPr>
          <w:rStyle w:val="Appelnotedebasdep"/>
        </w:rPr>
        <w:footnoteRef/>
      </w:r>
      <w:r>
        <w:t xml:space="preserve"> </w:t>
      </w:r>
      <w:r>
        <w:tab/>
      </w:r>
      <w:r w:rsidR="00B130E6" w:rsidRPr="00B130E6">
        <w:rPr>
          <w:i/>
          <w:iCs/>
        </w:rPr>
        <w:t>Code civil du Québec</w:t>
      </w:r>
      <w:r w:rsidR="00B130E6" w:rsidRPr="00B130E6">
        <w:t xml:space="preserve">, </w:t>
      </w:r>
      <w:r w:rsidR="00B130E6">
        <w:t>art. </w:t>
      </w:r>
      <w:r w:rsidR="00B130E6" w:rsidRPr="00B130E6">
        <w:t>24 al.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390C" w14:textId="77777777" w:rsidR="00EC43E5" w:rsidRDefault="00EC43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DAC8" w14:textId="77777777" w:rsidR="00F3200B" w:rsidRPr="00ED30D3" w:rsidRDefault="00F3200B" w:rsidP="00F3200B">
    <w:pPr>
      <w:pStyle w:val="En-tte"/>
    </w:pPr>
  </w:p>
  <w:tbl>
    <w:tblPr>
      <w:tblW w:w="0" w:type="auto"/>
      <w:tblLook w:val="04A0" w:firstRow="1" w:lastRow="0" w:firstColumn="1" w:lastColumn="0" w:noHBand="0" w:noVBand="1"/>
    </w:tblPr>
    <w:tblGrid>
      <w:gridCol w:w="4957"/>
      <w:gridCol w:w="5113"/>
    </w:tblGrid>
    <w:tr w:rsidR="00F3200B" w:rsidRPr="003C54D8" w14:paraId="5800381D" w14:textId="77777777" w:rsidTr="004318AC">
      <w:trPr>
        <w:trHeight w:val="567"/>
      </w:trPr>
      <w:tc>
        <w:tcPr>
          <w:tcW w:w="4957" w:type="dxa"/>
          <w:vMerge w:val="restart"/>
          <w:tcBorders>
            <w:right w:val="single" w:sz="4" w:space="0" w:color="auto"/>
          </w:tcBorders>
          <w:shd w:val="clear" w:color="auto" w:fill="auto"/>
          <w:vAlign w:val="center"/>
        </w:tcPr>
        <w:p w14:paraId="068715F5" w14:textId="2AF61ED0" w:rsidR="00F3200B" w:rsidRPr="00ED30D3" w:rsidRDefault="00F3200B" w:rsidP="00F3200B">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7620FAE" w14:textId="38482EDC" w:rsidR="00F3200B" w:rsidRPr="003C54D8" w:rsidRDefault="00F3200B" w:rsidP="00F3200B">
          <w:pPr>
            <w:spacing w:before="0" w:after="0"/>
            <w:jc w:val="right"/>
            <w:rPr>
              <w:sz w:val="32"/>
              <w:szCs w:val="32"/>
            </w:rPr>
          </w:pPr>
          <w:bookmarkStart w:id="29" w:name="_Hlk9405844"/>
          <w:r w:rsidRPr="003C54D8">
            <w:rPr>
              <w:sz w:val="32"/>
              <w:szCs w:val="32"/>
            </w:rPr>
            <w:t>MON-</w:t>
          </w:r>
          <w:r>
            <w:rPr>
              <w:sz w:val="32"/>
              <w:szCs w:val="32"/>
            </w:rPr>
            <w:t>CER</w:t>
          </w:r>
          <w:r w:rsidRPr="003C54D8">
            <w:rPr>
              <w:sz w:val="32"/>
              <w:szCs w:val="32"/>
            </w:rPr>
            <w:t xml:space="preserve"> 40</w:t>
          </w:r>
          <w:r>
            <w:rPr>
              <w:sz w:val="32"/>
              <w:szCs w:val="32"/>
            </w:rPr>
            <w:t>4-</w:t>
          </w:r>
          <w:r w:rsidRPr="003C54D8">
            <w:rPr>
              <w:sz w:val="32"/>
              <w:szCs w:val="32"/>
            </w:rPr>
            <w:t>00</w:t>
          </w:r>
          <w:r>
            <w:rPr>
              <w:sz w:val="32"/>
              <w:szCs w:val="32"/>
            </w:rPr>
            <w:t>2</w:t>
          </w:r>
          <w:bookmarkEnd w:id="29"/>
        </w:p>
      </w:tc>
    </w:tr>
    <w:tr w:rsidR="00F3200B" w:rsidRPr="00ED30D3" w14:paraId="12878CA4" w14:textId="77777777" w:rsidTr="004318AC">
      <w:trPr>
        <w:trHeight w:val="567"/>
      </w:trPr>
      <w:tc>
        <w:tcPr>
          <w:tcW w:w="4957" w:type="dxa"/>
          <w:vMerge/>
        </w:tcPr>
        <w:p w14:paraId="1B758954" w14:textId="77777777" w:rsidR="00F3200B" w:rsidRPr="00ED30D3" w:rsidRDefault="00F3200B" w:rsidP="00F3200B">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0722185C" w14:textId="77777777" w:rsidR="00F3200B" w:rsidRPr="00ED30D3" w:rsidRDefault="00F3200B" w:rsidP="00F3200B">
          <w:pPr>
            <w:spacing w:before="0" w:after="0"/>
            <w:jc w:val="right"/>
          </w:pPr>
          <w:r w:rsidRPr="00ED30D3">
            <w:t>Comité d’éthique de la recherche</w:t>
          </w:r>
        </w:p>
        <w:p w14:paraId="420D47C8" w14:textId="77777777" w:rsidR="00F3200B" w:rsidRPr="00ED30D3" w:rsidRDefault="00F3200B" w:rsidP="00F3200B">
          <w:pPr>
            <w:spacing w:before="0" w:after="0"/>
            <w:jc w:val="right"/>
          </w:pPr>
          <w:r w:rsidRPr="00ED30D3">
            <w:t>Mode opératoire normalisé</w:t>
          </w:r>
        </w:p>
      </w:tc>
    </w:tr>
  </w:tbl>
  <w:p w14:paraId="752B1FE7" w14:textId="77777777" w:rsidR="00F3200B" w:rsidRPr="00ED30D3" w:rsidRDefault="00F3200B" w:rsidP="00F3200B">
    <w:pPr>
      <w:pStyle w:val="En-tte"/>
    </w:pPr>
  </w:p>
  <w:p w14:paraId="1273E731" w14:textId="77777777" w:rsidR="00F3200B" w:rsidRPr="00ED30D3" w:rsidRDefault="00F3200B" w:rsidP="00F320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41C2" w14:textId="77777777" w:rsidR="00EC43E5" w:rsidRDefault="00EC43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5"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702478"/>
    <w:multiLevelType w:val="hybridMultilevel"/>
    <w:tmpl w:val="6CD20B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9656017"/>
    <w:multiLevelType w:val="hybridMultilevel"/>
    <w:tmpl w:val="4D02A76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66311D"/>
    <w:multiLevelType w:val="multilevel"/>
    <w:tmpl w:val="8FF8BACC"/>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29A01978"/>
    <w:multiLevelType w:val="hybridMultilevel"/>
    <w:tmpl w:val="6D50EDD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5331C40"/>
    <w:multiLevelType w:val="hybridMultilevel"/>
    <w:tmpl w:val="E26A8678"/>
    <w:lvl w:ilvl="0" w:tplc="0C0C000F">
      <w:start w:val="1"/>
      <w:numFmt w:val="decimal"/>
      <w:lvlText w:val="%1."/>
      <w:lvlJc w:val="left"/>
      <w:pPr>
        <w:ind w:left="1069" w:hanging="360"/>
      </w:p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5"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0676EA0"/>
    <w:multiLevelType w:val="hybridMultilevel"/>
    <w:tmpl w:val="7C80A0B8"/>
    <w:lvl w:ilvl="0" w:tplc="FD26396E">
      <w:start w:val="1"/>
      <w:numFmt w:val="lowerLetter"/>
      <w:pStyle w:val="Listetab1abc"/>
      <w:lvlText w:val="(%1)"/>
      <w:lvlJc w:val="left"/>
      <w:pPr>
        <w:ind w:left="72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4C62E09"/>
    <w:multiLevelType w:val="hybridMultilevel"/>
    <w:tmpl w:val="506241DC"/>
    <w:lvl w:ilvl="0" w:tplc="0268C834">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A31B8E"/>
    <w:multiLevelType w:val="multilevel"/>
    <w:tmpl w:val="E894303E"/>
    <w:lvl w:ilvl="0">
      <w:start w:val="1"/>
      <w:numFmt w:val="lowerLetter"/>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E14240"/>
    <w:multiLevelType w:val="hybridMultilevel"/>
    <w:tmpl w:val="6D50EDD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3715A1"/>
    <w:multiLevelType w:val="multilevel"/>
    <w:tmpl w:val="040C001D"/>
    <w:numStyleLink w:val="SOPListeHyrarchise"/>
  </w:abstractNum>
  <w:abstractNum w:abstractNumId="22" w15:restartNumberingAfterBreak="0">
    <w:nsid w:val="5EBD425A"/>
    <w:multiLevelType w:val="multilevel"/>
    <w:tmpl w:val="E894303E"/>
    <w:lvl w:ilvl="0">
      <w:start w:val="1"/>
      <w:numFmt w:val="lowerLetter"/>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1F1F21"/>
    <w:multiLevelType w:val="hybridMultilevel"/>
    <w:tmpl w:val="DA72D28A"/>
    <w:lvl w:ilvl="0" w:tplc="789EC7BA">
      <w:start w:val="1"/>
      <w:numFmt w:val="lowerLetter"/>
      <w:pStyle w:val="Liste4abc"/>
      <w:lvlText w:val="%1)"/>
      <w:lvlJc w:val="left"/>
      <w:pPr>
        <w:ind w:left="72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1775D20"/>
    <w:multiLevelType w:val="hybridMultilevel"/>
    <w:tmpl w:val="C744012C"/>
    <w:lvl w:ilvl="0" w:tplc="0C0C0001">
      <w:start w:val="1"/>
      <w:numFmt w:val="bullet"/>
      <w:lvlText w:val=""/>
      <w:lvlJc w:val="left"/>
      <w:pPr>
        <w:ind w:left="1890" w:hanging="360"/>
      </w:pPr>
      <w:rPr>
        <w:rFonts w:ascii="Symbol" w:hAnsi="Symbol" w:hint="default"/>
      </w:rPr>
    </w:lvl>
    <w:lvl w:ilvl="1" w:tplc="0C0C0003" w:tentative="1">
      <w:start w:val="1"/>
      <w:numFmt w:val="bullet"/>
      <w:lvlText w:val="o"/>
      <w:lvlJc w:val="left"/>
      <w:pPr>
        <w:ind w:left="2610" w:hanging="360"/>
      </w:pPr>
      <w:rPr>
        <w:rFonts w:ascii="Courier New" w:hAnsi="Courier New" w:cs="Courier New" w:hint="default"/>
      </w:rPr>
    </w:lvl>
    <w:lvl w:ilvl="2" w:tplc="0C0C0005" w:tentative="1">
      <w:start w:val="1"/>
      <w:numFmt w:val="bullet"/>
      <w:lvlText w:val=""/>
      <w:lvlJc w:val="left"/>
      <w:pPr>
        <w:ind w:left="3330" w:hanging="360"/>
      </w:pPr>
      <w:rPr>
        <w:rFonts w:ascii="Wingdings" w:hAnsi="Wingdings" w:hint="default"/>
      </w:rPr>
    </w:lvl>
    <w:lvl w:ilvl="3" w:tplc="0C0C0001" w:tentative="1">
      <w:start w:val="1"/>
      <w:numFmt w:val="bullet"/>
      <w:lvlText w:val=""/>
      <w:lvlJc w:val="left"/>
      <w:pPr>
        <w:ind w:left="4050" w:hanging="360"/>
      </w:pPr>
      <w:rPr>
        <w:rFonts w:ascii="Symbol" w:hAnsi="Symbol" w:hint="default"/>
      </w:rPr>
    </w:lvl>
    <w:lvl w:ilvl="4" w:tplc="0C0C0003" w:tentative="1">
      <w:start w:val="1"/>
      <w:numFmt w:val="bullet"/>
      <w:lvlText w:val="o"/>
      <w:lvlJc w:val="left"/>
      <w:pPr>
        <w:ind w:left="4770" w:hanging="360"/>
      </w:pPr>
      <w:rPr>
        <w:rFonts w:ascii="Courier New" w:hAnsi="Courier New" w:cs="Courier New" w:hint="default"/>
      </w:rPr>
    </w:lvl>
    <w:lvl w:ilvl="5" w:tplc="0C0C0005" w:tentative="1">
      <w:start w:val="1"/>
      <w:numFmt w:val="bullet"/>
      <w:lvlText w:val=""/>
      <w:lvlJc w:val="left"/>
      <w:pPr>
        <w:ind w:left="5490" w:hanging="360"/>
      </w:pPr>
      <w:rPr>
        <w:rFonts w:ascii="Wingdings" w:hAnsi="Wingdings" w:hint="default"/>
      </w:rPr>
    </w:lvl>
    <w:lvl w:ilvl="6" w:tplc="0C0C0001" w:tentative="1">
      <w:start w:val="1"/>
      <w:numFmt w:val="bullet"/>
      <w:lvlText w:val=""/>
      <w:lvlJc w:val="left"/>
      <w:pPr>
        <w:ind w:left="6210" w:hanging="360"/>
      </w:pPr>
      <w:rPr>
        <w:rFonts w:ascii="Symbol" w:hAnsi="Symbol" w:hint="default"/>
      </w:rPr>
    </w:lvl>
    <w:lvl w:ilvl="7" w:tplc="0C0C0003" w:tentative="1">
      <w:start w:val="1"/>
      <w:numFmt w:val="bullet"/>
      <w:lvlText w:val="o"/>
      <w:lvlJc w:val="left"/>
      <w:pPr>
        <w:ind w:left="6930" w:hanging="360"/>
      </w:pPr>
      <w:rPr>
        <w:rFonts w:ascii="Courier New" w:hAnsi="Courier New" w:cs="Courier New" w:hint="default"/>
      </w:rPr>
    </w:lvl>
    <w:lvl w:ilvl="8" w:tplc="0C0C0005" w:tentative="1">
      <w:start w:val="1"/>
      <w:numFmt w:val="bullet"/>
      <w:lvlText w:val=""/>
      <w:lvlJc w:val="left"/>
      <w:pPr>
        <w:ind w:left="7650" w:hanging="360"/>
      </w:pPr>
      <w:rPr>
        <w:rFonts w:ascii="Wingdings" w:hAnsi="Wingdings" w:hint="default"/>
      </w:rPr>
    </w:lvl>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D95BC2"/>
    <w:multiLevelType w:val="multilevel"/>
    <w:tmpl w:val="E894303E"/>
    <w:lvl w:ilvl="0">
      <w:start w:val="1"/>
      <w:numFmt w:val="lowerLetter"/>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4A3D2F"/>
    <w:multiLevelType w:val="multilevel"/>
    <w:tmpl w:val="E894303E"/>
    <w:lvl w:ilvl="0">
      <w:start w:val="1"/>
      <w:numFmt w:val="lowerLetter"/>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AD41A4"/>
    <w:multiLevelType w:val="hybridMultilevel"/>
    <w:tmpl w:val="D41E32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D0F78D3"/>
    <w:multiLevelType w:val="hybridMultilevel"/>
    <w:tmpl w:val="6D50EDD0"/>
    <w:lvl w:ilvl="0" w:tplc="CABC2A06">
      <w:start w:val="1"/>
      <w:numFmt w:val="lowerLetter"/>
      <w:lvlText w:val="%1)"/>
      <w:lvlJc w:val="left"/>
      <w:pPr>
        <w:ind w:left="720" w:hanging="360"/>
      </w:pPr>
      <w:rPr>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41533216">
    <w:abstractNumId w:val="11"/>
  </w:num>
  <w:num w:numId="2" w16cid:durableId="941884954">
    <w:abstractNumId w:val="0"/>
  </w:num>
  <w:num w:numId="3" w16cid:durableId="1460799296">
    <w:abstractNumId w:val="1"/>
  </w:num>
  <w:num w:numId="4" w16cid:durableId="220364477">
    <w:abstractNumId w:val="2"/>
  </w:num>
  <w:num w:numId="5" w16cid:durableId="1341007768">
    <w:abstractNumId w:val="3"/>
  </w:num>
  <w:num w:numId="6" w16cid:durableId="1705326460">
    <w:abstractNumId w:val="4"/>
  </w:num>
  <w:num w:numId="7" w16cid:durableId="224075432">
    <w:abstractNumId w:val="19"/>
  </w:num>
  <w:num w:numId="8" w16cid:durableId="1063869521">
    <w:abstractNumId w:val="17"/>
  </w:num>
  <w:num w:numId="9" w16cid:durableId="2001539650">
    <w:abstractNumId w:val="6"/>
  </w:num>
  <w:num w:numId="10" w16cid:durableId="8140409">
    <w:abstractNumId w:val="5"/>
  </w:num>
  <w:num w:numId="11" w16cid:durableId="285696811">
    <w:abstractNumId w:val="25"/>
  </w:num>
  <w:num w:numId="12" w16cid:durableId="174156103">
    <w:abstractNumId w:val="8"/>
  </w:num>
  <w:num w:numId="13" w16cid:durableId="1563324232">
    <w:abstractNumId w:val="21"/>
  </w:num>
  <w:num w:numId="14" w16cid:durableId="1552226454">
    <w:abstractNumId w:val="9"/>
  </w:num>
  <w:num w:numId="15" w16cid:durableId="769856889">
    <w:abstractNumId w:val="15"/>
  </w:num>
  <w:num w:numId="16" w16cid:durableId="720058212">
    <w:abstractNumId w:val="13"/>
  </w:num>
  <w:num w:numId="17" w16cid:durableId="1216969588">
    <w:abstractNumId w:val="23"/>
  </w:num>
  <w:num w:numId="18" w16cid:durableId="1965385376">
    <w:abstractNumId w:val="16"/>
  </w:num>
  <w:num w:numId="19" w16cid:durableId="747266820">
    <w:abstractNumId w:val="27"/>
  </w:num>
  <w:num w:numId="20" w16cid:durableId="426656405">
    <w:abstractNumId w:val="18"/>
  </w:num>
  <w:num w:numId="21" w16cid:durableId="1891382069">
    <w:abstractNumId w:val="22"/>
  </w:num>
  <w:num w:numId="22" w16cid:durableId="1624530866">
    <w:abstractNumId w:val="26"/>
  </w:num>
  <w:num w:numId="23" w16cid:durableId="1587809412">
    <w:abstractNumId w:val="24"/>
  </w:num>
  <w:num w:numId="24" w16cid:durableId="1649086807">
    <w:abstractNumId w:val="28"/>
  </w:num>
  <w:num w:numId="25" w16cid:durableId="864445270">
    <w:abstractNumId w:val="10"/>
  </w:num>
  <w:num w:numId="26" w16cid:durableId="1710452231">
    <w:abstractNumId w:val="21"/>
  </w:num>
  <w:num w:numId="27" w16cid:durableId="2023317072">
    <w:abstractNumId w:val="21"/>
  </w:num>
  <w:num w:numId="28" w16cid:durableId="246884458">
    <w:abstractNumId w:val="14"/>
  </w:num>
  <w:num w:numId="29" w16cid:durableId="14039239">
    <w:abstractNumId w:val="11"/>
  </w:num>
  <w:num w:numId="30" w16cid:durableId="1295214944">
    <w:abstractNumId w:val="11"/>
  </w:num>
  <w:num w:numId="31" w16cid:durableId="289212640">
    <w:abstractNumId w:val="11"/>
  </w:num>
  <w:num w:numId="32" w16cid:durableId="509760022">
    <w:abstractNumId w:val="11"/>
  </w:num>
  <w:num w:numId="33" w16cid:durableId="1118378010">
    <w:abstractNumId w:val="11"/>
  </w:num>
  <w:num w:numId="34" w16cid:durableId="467431017">
    <w:abstractNumId w:val="29"/>
  </w:num>
  <w:num w:numId="35" w16cid:durableId="588277400">
    <w:abstractNumId w:val="21"/>
  </w:num>
  <w:num w:numId="36" w16cid:durableId="1243836634">
    <w:abstractNumId w:val="21"/>
  </w:num>
  <w:num w:numId="37" w16cid:durableId="1389692956">
    <w:abstractNumId w:val="20"/>
  </w:num>
  <w:num w:numId="38" w16cid:durableId="491991085">
    <w:abstractNumId w:val="21"/>
  </w:num>
  <w:num w:numId="39" w16cid:durableId="2068725525">
    <w:abstractNumId w:val="21"/>
  </w:num>
  <w:num w:numId="40" w16cid:durableId="1929002629">
    <w:abstractNumId w:val="21"/>
  </w:num>
  <w:num w:numId="41" w16cid:durableId="1604456955">
    <w:abstractNumId w:val="21"/>
  </w:num>
  <w:num w:numId="42" w16cid:durableId="246814247">
    <w:abstractNumId w:val="21"/>
  </w:num>
  <w:num w:numId="43" w16cid:durableId="646863795">
    <w:abstractNumId w:val="21"/>
  </w:num>
  <w:num w:numId="44" w16cid:durableId="353967607">
    <w:abstractNumId w:val="21"/>
  </w:num>
  <w:num w:numId="45" w16cid:durableId="1258487992">
    <w:abstractNumId w:val="21"/>
  </w:num>
  <w:num w:numId="46" w16cid:durableId="1392922014">
    <w:abstractNumId w:val="11"/>
  </w:num>
  <w:num w:numId="47" w16cid:durableId="1951738878">
    <w:abstractNumId w:val="11"/>
  </w:num>
  <w:num w:numId="48" w16cid:durableId="699089915">
    <w:abstractNumId w:val="11"/>
  </w:num>
  <w:num w:numId="49" w16cid:durableId="677733418">
    <w:abstractNumId w:val="21"/>
  </w:num>
  <w:num w:numId="50" w16cid:durableId="221991350">
    <w:abstractNumId w:val="11"/>
  </w:num>
  <w:num w:numId="51" w16cid:durableId="975918207">
    <w:abstractNumId w:val="11"/>
  </w:num>
  <w:num w:numId="52" w16cid:durableId="524444328">
    <w:abstractNumId w:val="7"/>
  </w:num>
  <w:num w:numId="53" w16cid:durableId="555436756">
    <w:abstractNumId w:val="11"/>
  </w:num>
  <w:num w:numId="54" w16cid:durableId="542138148">
    <w:abstractNumId w:val="21"/>
  </w:num>
  <w:num w:numId="55" w16cid:durableId="1220357358">
    <w:abstractNumId w:val="12"/>
  </w:num>
  <w:num w:numId="56" w16cid:durableId="255481652">
    <w:abstractNumId w:val="21"/>
  </w:num>
  <w:num w:numId="57" w16cid:durableId="17120018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2DF5"/>
    <w:rsid w:val="00003A52"/>
    <w:rsid w:val="00004E72"/>
    <w:rsid w:val="00005387"/>
    <w:rsid w:val="000056D7"/>
    <w:rsid w:val="00005B3C"/>
    <w:rsid w:val="0000685B"/>
    <w:rsid w:val="00006919"/>
    <w:rsid w:val="00010427"/>
    <w:rsid w:val="00013E84"/>
    <w:rsid w:val="00016CFE"/>
    <w:rsid w:val="000219AB"/>
    <w:rsid w:val="00022975"/>
    <w:rsid w:val="00023B10"/>
    <w:rsid w:val="0002610A"/>
    <w:rsid w:val="00026BCD"/>
    <w:rsid w:val="00027560"/>
    <w:rsid w:val="00027633"/>
    <w:rsid w:val="00030F93"/>
    <w:rsid w:val="0003259E"/>
    <w:rsid w:val="00032CC7"/>
    <w:rsid w:val="00040DA5"/>
    <w:rsid w:val="00041973"/>
    <w:rsid w:val="000424B2"/>
    <w:rsid w:val="00042588"/>
    <w:rsid w:val="00042BB4"/>
    <w:rsid w:val="00045DF5"/>
    <w:rsid w:val="00046576"/>
    <w:rsid w:val="00047C05"/>
    <w:rsid w:val="00055693"/>
    <w:rsid w:val="00060034"/>
    <w:rsid w:val="00065670"/>
    <w:rsid w:val="00071814"/>
    <w:rsid w:val="0007320A"/>
    <w:rsid w:val="000748FF"/>
    <w:rsid w:val="0008183D"/>
    <w:rsid w:val="00084416"/>
    <w:rsid w:val="000845F2"/>
    <w:rsid w:val="00086BA1"/>
    <w:rsid w:val="00090B42"/>
    <w:rsid w:val="0009155F"/>
    <w:rsid w:val="000931B5"/>
    <w:rsid w:val="000A0E20"/>
    <w:rsid w:val="000A14DC"/>
    <w:rsid w:val="000A6362"/>
    <w:rsid w:val="000B3FF6"/>
    <w:rsid w:val="000B43D9"/>
    <w:rsid w:val="000B5A3A"/>
    <w:rsid w:val="000B5A8B"/>
    <w:rsid w:val="000B5FF1"/>
    <w:rsid w:val="000B71C5"/>
    <w:rsid w:val="000C0BD2"/>
    <w:rsid w:val="000C1B43"/>
    <w:rsid w:val="000C32E5"/>
    <w:rsid w:val="000C4A7F"/>
    <w:rsid w:val="000C4BA0"/>
    <w:rsid w:val="000C4FBE"/>
    <w:rsid w:val="000C54EE"/>
    <w:rsid w:val="000C5529"/>
    <w:rsid w:val="000C6FD2"/>
    <w:rsid w:val="000D018D"/>
    <w:rsid w:val="000D4D6D"/>
    <w:rsid w:val="000D5F41"/>
    <w:rsid w:val="000D68B5"/>
    <w:rsid w:val="000D72FD"/>
    <w:rsid w:val="000D7DE1"/>
    <w:rsid w:val="000E0226"/>
    <w:rsid w:val="000E5D2E"/>
    <w:rsid w:val="000E604A"/>
    <w:rsid w:val="000E78D6"/>
    <w:rsid w:val="000E7C88"/>
    <w:rsid w:val="000F0F61"/>
    <w:rsid w:val="000F70B5"/>
    <w:rsid w:val="000F76DF"/>
    <w:rsid w:val="001047C2"/>
    <w:rsid w:val="00105313"/>
    <w:rsid w:val="001105B7"/>
    <w:rsid w:val="0011240A"/>
    <w:rsid w:val="00114080"/>
    <w:rsid w:val="00116C02"/>
    <w:rsid w:val="00117F7F"/>
    <w:rsid w:val="00120CA2"/>
    <w:rsid w:val="00126140"/>
    <w:rsid w:val="00132167"/>
    <w:rsid w:val="00133159"/>
    <w:rsid w:val="001334E1"/>
    <w:rsid w:val="00134A90"/>
    <w:rsid w:val="00135E02"/>
    <w:rsid w:val="001523E3"/>
    <w:rsid w:val="00153CC6"/>
    <w:rsid w:val="00155A17"/>
    <w:rsid w:val="00157F8D"/>
    <w:rsid w:val="0016438B"/>
    <w:rsid w:val="001648C8"/>
    <w:rsid w:val="00165C79"/>
    <w:rsid w:val="001667D3"/>
    <w:rsid w:val="00166930"/>
    <w:rsid w:val="00167C04"/>
    <w:rsid w:val="0017361D"/>
    <w:rsid w:val="0017483F"/>
    <w:rsid w:val="00180A1A"/>
    <w:rsid w:val="00182032"/>
    <w:rsid w:val="00184701"/>
    <w:rsid w:val="001852FB"/>
    <w:rsid w:val="00185DDF"/>
    <w:rsid w:val="00190229"/>
    <w:rsid w:val="00190A4D"/>
    <w:rsid w:val="00191315"/>
    <w:rsid w:val="00197E8A"/>
    <w:rsid w:val="001A2250"/>
    <w:rsid w:val="001A35FB"/>
    <w:rsid w:val="001A7531"/>
    <w:rsid w:val="001B1081"/>
    <w:rsid w:val="001B2346"/>
    <w:rsid w:val="001B2EF7"/>
    <w:rsid w:val="001B3094"/>
    <w:rsid w:val="001B4F19"/>
    <w:rsid w:val="001B59CF"/>
    <w:rsid w:val="001B687E"/>
    <w:rsid w:val="001C260E"/>
    <w:rsid w:val="001C306F"/>
    <w:rsid w:val="001C3BB1"/>
    <w:rsid w:val="001C55CF"/>
    <w:rsid w:val="001C6CE3"/>
    <w:rsid w:val="001D2BE0"/>
    <w:rsid w:val="001D44A3"/>
    <w:rsid w:val="001D4892"/>
    <w:rsid w:val="001D4F50"/>
    <w:rsid w:val="001D65A0"/>
    <w:rsid w:val="001E0389"/>
    <w:rsid w:val="001E7172"/>
    <w:rsid w:val="001E71D0"/>
    <w:rsid w:val="001F02CC"/>
    <w:rsid w:val="001F0782"/>
    <w:rsid w:val="001F10E9"/>
    <w:rsid w:val="001F2454"/>
    <w:rsid w:val="001F24D6"/>
    <w:rsid w:val="001F5C57"/>
    <w:rsid w:val="001F6BCF"/>
    <w:rsid w:val="0020048F"/>
    <w:rsid w:val="0020229A"/>
    <w:rsid w:val="00203217"/>
    <w:rsid w:val="00204403"/>
    <w:rsid w:val="002061FE"/>
    <w:rsid w:val="002070D0"/>
    <w:rsid w:val="002076EE"/>
    <w:rsid w:val="0021386A"/>
    <w:rsid w:val="002144C6"/>
    <w:rsid w:val="00214538"/>
    <w:rsid w:val="00217D49"/>
    <w:rsid w:val="002211F6"/>
    <w:rsid w:val="00222E87"/>
    <w:rsid w:val="0022346E"/>
    <w:rsid w:val="00227517"/>
    <w:rsid w:val="0022754E"/>
    <w:rsid w:val="002278B7"/>
    <w:rsid w:val="00227AEB"/>
    <w:rsid w:val="00227BEB"/>
    <w:rsid w:val="002313D0"/>
    <w:rsid w:val="00232B08"/>
    <w:rsid w:val="00232E6C"/>
    <w:rsid w:val="00233DCC"/>
    <w:rsid w:val="00234933"/>
    <w:rsid w:val="002369B2"/>
    <w:rsid w:val="002425A0"/>
    <w:rsid w:val="002431CB"/>
    <w:rsid w:val="0024573E"/>
    <w:rsid w:val="0024630C"/>
    <w:rsid w:val="002530E1"/>
    <w:rsid w:val="00253421"/>
    <w:rsid w:val="0025531B"/>
    <w:rsid w:val="00255DE1"/>
    <w:rsid w:val="00260B83"/>
    <w:rsid w:val="0026419E"/>
    <w:rsid w:val="00274766"/>
    <w:rsid w:val="002756C1"/>
    <w:rsid w:val="00275879"/>
    <w:rsid w:val="00276B3A"/>
    <w:rsid w:val="00281006"/>
    <w:rsid w:val="0028288D"/>
    <w:rsid w:val="00283978"/>
    <w:rsid w:val="00285F2F"/>
    <w:rsid w:val="002860CE"/>
    <w:rsid w:val="002954D2"/>
    <w:rsid w:val="002959B9"/>
    <w:rsid w:val="002A01D6"/>
    <w:rsid w:val="002A08CC"/>
    <w:rsid w:val="002A4721"/>
    <w:rsid w:val="002A54F9"/>
    <w:rsid w:val="002A6AD2"/>
    <w:rsid w:val="002A6B7F"/>
    <w:rsid w:val="002A79AE"/>
    <w:rsid w:val="002B576B"/>
    <w:rsid w:val="002B5BA5"/>
    <w:rsid w:val="002B5EA6"/>
    <w:rsid w:val="002B6753"/>
    <w:rsid w:val="002B6765"/>
    <w:rsid w:val="002C3D1C"/>
    <w:rsid w:val="002D0137"/>
    <w:rsid w:val="002D4491"/>
    <w:rsid w:val="002D7E31"/>
    <w:rsid w:val="002E0214"/>
    <w:rsid w:val="002E18ED"/>
    <w:rsid w:val="002E750D"/>
    <w:rsid w:val="002F1807"/>
    <w:rsid w:val="002F2152"/>
    <w:rsid w:val="002F3350"/>
    <w:rsid w:val="002F5105"/>
    <w:rsid w:val="0030264A"/>
    <w:rsid w:val="0030269A"/>
    <w:rsid w:val="003034C8"/>
    <w:rsid w:val="00305899"/>
    <w:rsid w:val="003069E7"/>
    <w:rsid w:val="00307502"/>
    <w:rsid w:val="003104D4"/>
    <w:rsid w:val="00310A0D"/>
    <w:rsid w:val="00315D3F"/>
    <w:rsid w:val="00317C8D"/>
    <w:rsid w:val="00320329"/>
    <w:rsid w:val="003203E3"/>
    <w:rsid w:val="0032222C"/>
    <w:rsid w:val="00322E71"/>
    <w:rsid w:val="00323310"/>
    <w:rsid w:val="003303B8"/>
    <w:rsid w:val="00331F2E"/>
    <w:rsid w:val="00331FDC"/>
    <w:rsid w:val="00347179"/>
    <w:rsid w:val="00350FF0"/>
    <w:rsid w:val="00352F06"/>
    <w:rsid w:val="00353EF7"/>
    <w:rsid w:val="00354738"/>
    <w:rsid w:val="00354756"/>
    <w:rsid w:val="003561DB"/>
    <w:rsid w:val="00357419"/>
    <w:rsid w:val="0036067E"/>
    <w:rsid w:val="00360DBD"/>
    <w:rsid w:val="003615D7"/>
    <w:rsid w:val="003643CC"/>
    <w:rsid w:val="00364406"/>
    <w:rsid w:val="003646A4"/>
    <w:rsid w:val="003648D8"/>
    <w:rsid w:val="003655CA"/>
    <w:rsid w:val="00367E9E"/>
    <w:rsid w:val="003724A9"/>
    <w:rsid w:val="00373C66"/>
    <w:rsid w:val="00373D7D"/>
    <w:rsid w:val="00375A12"/>
    <w:rsid w:val="00377053"/>
    <w:rsid w:val="00377C68"/>
    <w:rsid w:val="00381E3D"/>
    <w:rsid w:val="00386EA4"/>
    <w:rsid w:val="00391E15"/>
    <w:rsid w:val="00396FEA"/>
    <w:rsid w:val="003A389F"/>
    <w:rsid w:val="003B2378"/>
    <w:rsid w:val="003C1F14"/>
    <w:rsid w:val="003C22BE"/>
    <w:rsid w:val="003C54D8"/>
    <w:rsid w:val="003C6E2D"/>
    <w:rsid w:val="003D2C16"/>
    <w:rsid w:val="003D4D5F"/>
    <w:rsid w:val="003D63D1"/>
    <w:rsid w:val="003D6F51"/>
    <w:rsid w:val="003E161E"/>
    <w:rsid w:val="003E31E8"/>
    <w:rsid w:val="003E424D"/>
    <w:rsid w:val="003E5197"/>
    <w:rsid w:val="003E5ED5"/>
    <w:rsid w:val="003E5EE9"/>
    <w:rsid w:val="003E66D7"/>
    <w:rsid w:val="003F339C"/>
    <w:rsid w:val="003F611E"/>
    <w:rsid w:val="0040073F"/>
    <w:rsid w:val="004013D4"/>
    <w:rsid w:val="00407250"/>
    <w:rsid w:val="00407730"/>
    <w:rsid w:val="0040793A"/>
    <w:rsid w:val="00407A18"/>
    <w:rsid w:val="00407B78"/>
    <w:rsid w:val="004125B8"/>
    <w:rsid w:val="004132E0"/>
    <w:rsid w:val="0041609C"/>
    <w:rsid w:val="00417B89"/>
    <w:rsid w:val="00420782"/>
    <w:rsid w:val="00421E75"/>
    <w:rsid w:val="00424424"/>
    <w:rsid w:val="00424857"/>
    <w:rsid w:val="00426EC8"/>
    <w:rsid w:val="00426F7A"/>
    <w:rsid w:val="00430059"/>
    <w:rsid w:val="00430594"/>
    <w:rsid w:val="004305A7"/>
    <w:rsid w:val="00430A5A"/>
    <w:rsid w:val="00433EFF"/>
    <w:rsid w:val="00433FB9"/>
    <w:rsid w:val="00434120"/>
    <w:rsid w:val="0043502B"/>
    <w:rsid w:val="004374F7"/>
    <w:rsid w:val="004438AD"/>
    <w:rsid w:val="00444D39"/>
    <w:rsid w:val="00444EE7"/>
    <w:rsid w:val="0044502F"/>
    <w:rsid w:val="00446681"/>
    <w:rsid w:val="00446B96"/>
    <w:rsid w:val="004525CB"/>
    <w:rsid w:val="00452EF6"/>
    <w:rsid w:val="00460338"/>
    <w:rsid w:val="004614AD"/>
    <w:rsid w:val="00461B92"/>
    <w:rsid w:val="00463D96"/>
    <w:rsid w:val="00464A64"/>
    <w:rsid w:val="00467FA6"/>
    <w:rsid w:val="0047269C"/>
    <w:rsid w:val="00472E4F"/>
    <w:rsid w:val="00474636"/>
    <w:rsid w:val="004750E9"/>
    <w:rsid w:val="0047642D"/>
    <w:rsid w:val="00476E0A"/>
    <w:rsid w:val="00480A83"/>
    <w:rsid w:val="004822BB"/>
    <w:rsid w:val="0048414B"/>
    <w:rsid w:val="0048667E"/>
    <w:rsid w:val="00486D5E"/>
    <w:rsid w:val="00490400"/>
    <w:rsid w:val="004905D3"/>
    <w:rsid w:val="00494553"/>
    <w:rsid w:val="00494D38"/>
    <w:rsid w:val="004A1C5F"/>
    <w:rsid w:val="004A2D8F"/>
    <w:rsid w:val="004A2D9C"/>
    <w:rsid w:val="004A65BE"/>
    <w:rsid w:val="004A77B3"/>
    <w:rsid w:val="004B1053"/>
    <w:rsid w:val="004B7FEA"/>
    <w:rsid w:val="004C7974"/>
    <w:rsid w:val="004D1465"/>
    <w:rsid w:val="004D49CC"/>
    <w:rsid w:val="004D5E12"/>
    <w:rsid w:val="004D751F"/>
    <w:rsid w:val="004E109D"/>
    <w:rsid w:val="004E2165"/>
    <w:rsid w:val="004F353D"/>
    <w:rsid w:val="004F52F6"/>
    <w:rsid w:val="004F6B02"/>
    <w:rsid w:val="005026C2"/>
    <w:rsid w:val="00503018"/>
    <w:rsid w:val="00514CC4"/>
    <w:rsid w:val="005169A5"/>
    <w:rsid w:val="0051714F"/>
    <w:rsid w:val="005178C3"/>
    <w:rsid w:val="0052183C"/>
    <w:rsid w:val="00522FA4"/>
    <w:rsid w:val="005252BC"/>
    <w:rsid w:val="0052540E"/>
    <w:rsid w:val="00530166"/>
    <w:rsid w:val="00530F95"/>
    <w:rsid w:val="00532D13"/>
    <w:rsid w:val="005350A8"/>
    <w:rsid w:val="005361D0"/>
    <w:rsid w:val="00552CF4"/>
    <w:rsid w:val="005540EC"/>
    <w:rsid w:val="005605BC"/>
    <w:rsid w:val="00561FF4"/>
    <w:rsid w:val="00562C0B"/>
    <w:rsid w:val="0056348B"/>
    <w:rsid w:val="00563CC9"/>
    <w:rsid w:val="0056681D"/>
    <w:rsid w:val="00570208"/>
    <w:rsid w:val="005715E2"/>
    <w:rsid w:val="00573BAB"/>
    <w:rsid w:val="00580C1E"/>
    <w:rsid w:val="005831AA"/>
    <w:rsid w:val="00592EF7"/>
    <w:rsid w:val="0059613B"/>
    <w:rsid w:val="005962D5"/>
    <w:rsid w:val="005967D0"/>
    <w:rsid w:val="005A08BB"/>
    <w:rsid w:val="005A1EE6"/>
    <w:rsid w:val="005A3D29"/>
    <w:rsid w:val="005A3FEB"/>
    <w:rsid w:val="005B1EB6"/>
    <w:rsid w:val="005B484D"/>
    <w:rsid w:val="005B5A44"/>
    <w:rsid w:val="005B6247"/>
    <w:rsid w:val="005B7319"/>
    <w:rsid w:val="005C2A39"/>
    <w:rsid w:val="005C604B"/>
    <w:rsid w:val="005C69E2"/>
    <w:rsid w:val="005C7636"/>
    <w:rsid w:val="005D1B62"/>
    <w:rsid w:val="005D3C42"/>
    <w:rsid w:val="005D6CCB"/>
    <w:rsid w:val="005D6EC8"/>
    <w:rsid w:val="005D774C"/>
    <w:rsid w:val="005E1442"/>
    <w:rsid w:val="005E63B9"/>
    <w:rsid w:val="005E7C59"/>
    <w:rsid w:val="005F282C"/>
    <w:rsid w:val="005F2F00"/>
    <w:rsid w:val="005F63C5"/>
    <w:rsid w:val="005F6C12"/>
    <w:rsid w:val="00601963"/>
    <w:rsid w:val="0060453F"/>
    <w:rsid w:val="00610787"/>
    <w:rsid w:val="00611211"/>
    <w:rsid w:val="0061254A"/>
    <w:rsid w:val="00612664"/>
    <w:rsid w:val="00613ABD"/>
    <w:rsid w:val="00615D0E"/>
    <w:rsid w:val="00622D09"/>
    <w:rsid w:val="0062593A"/>
    <w:rsid w:val="00625FF5"/>
    <w:rsid w:val="00627189"/>
    <w:rsid w:val="00630C5C"/>
    <w:rsid w:val="00632F6E"/>
    <w:rsid w:val="00640669"/>
    <w:rsid w:val="00640E63"/>
    <w:rsid w:val="006421EA"/>
    <w:rsid w:val="00645021"/>
    <w:rsid w:val="006500D1"/>
    <w:rsid w:val="00655828"/>
    <w:rsid w:val="0066677D"/>
    <w:rsid w:val="006679F4"/>
    <w:rsid w:val="00670A57"/>
    <w:rsid w:val="00672983"/>
    <w:rsid w:val="00674351"/>
    <w:rsid w:val="006746A4"/>
    <w:rsid w:val="0067764C"/>
    <w:rsid w:val="00685CC7"/>
    <w:rsid w:val="00696AF9"/>
    <w:rsid w:val="00697986"/>
    <w:rsid w:val="006A008F"/>
    <w:rsid w:val="006A4376"/>
    <w:rsid w:val="006B1CDD"/>
    <w:rsid w:val="006B2D77"/>
    <w:rsid w:val="006B6F72"/>
    <w:rsid w:val="006B760E"/>
    <w:rsid w:val="006C1F5E"/>
    <w:rsid w:val="006C3E08"/>
    <w:rsid w:val="006C3E74"/>
    <w:rsid w:val="006C65EF"/>
    <w:rsid w:val="006D2A20"/>
    <w:rsid w:val="006D671B"/>
    <w:rsid w:val="006D7A5C"/>
    <w:rsid w:val="006E1F63"/>
    <w:rsid w:val="006E42C9"/>
    <w:rsid w:val="006E796A"/>
    <w:rsid w:val="006F3AF1"/>
    <w:rsid w:val="006F6672"/>
    <w:rsid w:val="006F6E8F"/>
    <w:rsid w:val="00700E7A"/>
    <w:rsid w:val="00701186"/>
    <w:rsid w:val="00703B58"/>
    <w:rsid w:val="00704C0A"/>
    <w:rsid w:val="00705FBE"/>
    <w:rsid w:val="007102FE"/>
    <w:rsid w:val="007118C9"/>
    <w:rsid w:val="00713C0D"/>
    <w:rsid w:val="007169B1"/>
    <w:rsid w:val="00716AFD"/>
    <w:rsid w:val="00721335"/>
    <w:rsid w:val="00723CF2"/>
    <w:rsid w:val="00724F09"/>
    <w:rsid w:val="00731538"/>
    <w:rsid w:val="00731FFD"/>
    <w:rsid w:val="00733917"/>
    <w:rsid w:val="0073651C"/>
    <w:rsid w:val="00747276"/>
    <w:rsid w:val="00747799"/>
    <w:rsid w:val="00747C3D"/>
    <w:rsid w:val="00751210"/>
    <w:rsid w:val="00751820"/>
    <w:rsid w:val="00751973"/>
    <w:rsid w:val="00753239"/>
    <w:rsid w:val="00754C75"/>
    <w:rsid w:val="00755DC9"/>
    <w:rsid w:val="00756C58"/>
    <w:rsid w:val="007577FF"/>
    <w:rsid w:val="00757D6A"/>
    <w:rsid w:val="00757F74"/>
    <w:rsid w:val="00763160"/>
    <w:rsid w:val="00763418"/>
    <w:rsid w:val="00764BC9"/>
    <w:rsid w:val="0076516F"/>
    <w:rsid w:val="00765776"/>
    <w:rsid w:val="00767012"/>
    <w:rsid w:val="00771804"/>
    <w:rsid w:val="00772F0F"/>
    <w:rsid w:val="00775C1A"/>
    <w:rsid w:val="00777DDD"/>
    <w:rsid w:val="007807FD"/>
    <w:rsid w:val="00793C7B"/>
    <w:rsid w:val="00793D99"/>
    <w:rsid w:val="00795819"/>
    <w:rsid w:val="007A1697"/>
    <w:rsid w:val="007B2DAC"/>
    <w:rsid w:val="007D261C"/>
    <w:rsid w:val="007D2AD3"/>
    <w:rsid w:val="007D2C1F"/>
    <w:rsid w:val="007D5AB2"/>
    <w:rsid w:val="007E0CE3"/>
    <w:rsid w:val="007E23BE"/>
    <w:rsid w:val="007E34F0"/>
    <w:rsid w:val="007E5BFF"/>
    <w:rsid w:val="007E5F0B"/>
    <w:rsid w:val="007F2D43"/>
    <w:rsid w:val="007F3190"/>
    <w:rsid w:val="007F450C"/>
    <w:rsid w:val="00803F88"/>
    <w:rsid w:val="0080518A"/>
    <w:rsid w:val="008052EC"/>
    <w:rsid w:val="00806288"/>
    <w:rsid w:val="00813A32"/>
    <w:rsid w:val="008160EC"/>
    <w:rsid w:val="00820E38"/>
    <w:rsid w:val="00824AC5"/>
    <w:rsid w:val="0083156F"/>
    <w:rsid w:val="008415DC"/>
    <w:rsid w:val="00852531"/>
    <w:rsid w:val="00853B29"/>
    <w:rsid w:val="008545AE"/>
    <w:rsid w:val="00855883"/>
    <w:rsid w:val="00861386"/>
    <w:rsid w:val="0086296E"/>
    <w:rsid w:val="008632B1"/>
    <w:rsid w:val="00867CC3"/>
    <w:rsid w:val="00872389"/>
    <w:rsid w:val="00873351"/>
    <w:rsid w:val="00876A1A"/>
    <w:rsid w:val="00877E5C"/>
    <w:rsid w:val="008816BB"/>
    <w:rsid w:val="008842DC"/>
    <w:rsid w:val="0089140D"/>
    <w:rsid w:val="00892A5C"/>
    <w:rsid w:val="008950B7"/>
    <w:rsid w:val="00896D38"/>
    <w:rsid w:val="008A587F"/>
    <w:rsid w:val="008A6387"/>
    <w:rsid w:val="008A6924"/>
    <w:rsid w:val="008A7F2B"/>
    <w:rsid w:val="008B38D1"/>
    <w:rsid w:val="008B422D"/>
    <w:rsid w:val="008B58BF"/>
    <w:rsid w:val="008B5CE0"/>
    <w:rsid w:val="008B7F84"/>
    <w:rsid w:val="008C049F"/>
    <w:rsid w:val="008C5E10"/>
    <w:rsid w:val="008D329B"/>
    <w:rsid w:val="008D504F"/>
    <w:rsid w:val="008D5382"/>
    <w:rsid w:val="008D5D14"/>
    <w:rsid w:val="008D7C76"/>
    <w:rsid w:val="008E0D4A"/>
    <w:rsid w:val="008E1F91"/>
    <w:rsid w:val="008E3507"/>
    <w:rsid w:val="008E5297"/>
    <w:rsid w:val="008E6EBB"/>
    <w:rsid w:val="008F04E8"/>
    <w:rsid w:val="008F12A7"/>
    <w:rsid w:val="008F2CE1"/>
    <w:rsid w:val="008F41AE"/>
    <w:rsid w:val="008F4DAC"/>
    <w:rsid w:val="00905C88"/>
    <w:rsid w:val="00906D90"/>
    <w:rsid w:val="00906DEA"/>
    <w:rsid w:val="0091061E"/>
    <w:rsid w:val="00910E30"/>
    <w:rsid w:val="00914214"/>
    <w:rsid w:val="009166B5"/>
    <w:rsid w:val="00922D44"/>
    <w:rsid w:val="00925D9D"/>
    <w:rsid w:val="00926CE6"/>
    <w:rsid w:val="009272DE"/>
    <w:rsid w:val="009375C7"/>
    <w:rsid w:val="00941C94"/>
    <w:rsid w:val="00942E99"/>
    <w:rsid w:val="0095095A"/>
    <w:rsid w:val="00953ACB"/>
    <w:rsid w:val="009552EF"/>
    <w:rsid w:val="0095597E"/>
    <w:rsid w:val="00957116"/>
    <w:rsid w:val="009602AE"/>
    <w:rsid w:val="00961189"/>
    <w:rsid w:val="00961949"/>
    <w:rsid w:val="009627C0"/>
    <w:rsid w:val="00974591"/>
    <w:rsid w:val="0097507D"/>
    <w:rsid w:val="009754E0"/>
    <w:rsid w:val="00977C68"/>
    <w:rsid w:val="00982DB6"/>
    <w:rsid w:val="00986A54"/>
    <w:rsid w:val="009902FB"/>
    <w:rsid w:val="0099263A"/>
    <w:rsid w:val="00993C31"/>
    <w:rsid w:val="0099409B"/>
    <w:rsid w:val="00995928"/>
    <w:rsid w:val="009A24DF"/>
    <w:rsid w:val="009A2B35"/>
    <w:rsid w:val="009A2D62"/>
    <w:rsid w:val="009A321B"/>
    <w:rsid w:val="009B025F"/>
    <w:rsid w:val="009B396C"/>
    <w:rsid w:val="009C0081"/>
    <w:rsid w:val="009C2D5D"/>
    <w:rsid w:val="009C34A3"/>
    <w:rsid w:val="009C4CAE"/>
    <w:rsid w:val="009C54BA"/>
    <w:rsid w:val="009D2E53"/>
    <w:rsid w:val="009D3040"/>
    <w:rsid w:val="009D31BF"/>
    <w:rsid w:val="009D5B48"/>
    <w:rsid w:val="009D7038"/>
    <w:rsid w:val="009E014A"/>
    <w:rsid w:val="009E067D"/>
    <w:rsid w:val="009E1864"/>
    <w:rsid w:val="009F0CD2"/>
    <w:rsid w:val="009F508E"/>
    <w:rsid w:val="009F6D31"/>
    <w:rsid w:val="00A008C4"/>
    <w:rsid w:val="00A04A27"/>
    <w:rsid w:val="00A05C41"/>
    <w:rsid w:val="00A05C64"/>
    <w:rsid w:val="00A10507"/>
    <w:rsid w:val="00A10582"/>
    <w:rsid w:val="00A12631"/>
    <w:rsid w:val="00A12A00"/>
    <w:rsid w:val="00A12DEB"/>
    <w:rsid w:val="00A147B4"/>
    <w:rsid w:val="00A1519E"/>
    <w:rsid w:val="00A16A72"/>
    <w:rsid w:val="00A17722"/>
    <w:rsid w:val="00A25134"/>
    <w:rsid w:val="00A2665A"/>
    <w:rsid w:val="00A26CA7"/>
    <w:rsid w:val="00A30069"/>
    <w:rsid w:val="00A3536E"/>
    <w:rsid w:val="00A36E97"/>
    <w:rsid w:val="00A37A78"/>
    <w:rsid w:val="00A412B4"/>
    <w:rsid w:val="00A41AAD"/>
    <w:rsid w:val="00A41FC3"/>
    <w:rsid w:val="00A448EC"/>
    <w:rsid w:val="00A50E35"/>
    <w:rsid w:val="00A53D5A"/>
    <w:rsid w:val="00A54E14"/>
    <w:rsid w:val="00A565A3"/>
    <w:rsid w:val="00A56971"/>
    <w:rsid w:val="00A62E8B"/>
    <w:rsid w:val="00A64FEE"/>
    <w:rsid w:val="00A65015"/>
    <w:rsid w:val="00A667AE"/>
    <w:rsid w:val="00A67145"/>
    <w:rsid w:val="00A72D58"/>
    <w:rsid w:val="00A74F59"/>
    <w:rsid w:val="00A81357"/>
    <w:rsid w:val="00A852B7"/>
    <w:rsid w:val="00A857D8"/>
    <w:rsid w:val="00A87F51"/>
    <w:rsid w:val="00A90A06"/>
    <w:rsid w:val="00A90ABC"/>
    <w:rsid w:val="00A90BDE"/>
    <w:rsid w:val="00A90C35"/>
    <w:rsid w:val="00A92DA1"/>
    <w:rsid w:val="00A934E1"/>
    <w:rsid w:val="00A96625"/>
    <w:rsid w:val="00A967C9"/>
    <w:rsid w:val="00AA1D73"/>
    <w:rsid w:val="00AA1E7B"/>
    <w:rsid w:val="00AA35B8"/>
    <w:rsid w:val="00AA641E"/>
    <w:rsid w:val="00AA64A5"/>
    <w:rsid w:val="00AA76B5"/>
    <w:rsid w:val="00AB365A"/>
    <w:rsid w:val="00AB4A59"/>
    <w:rsid w:val="00AB5DDB"/>
    <w:rsid w:val="00AC1078"/>
    <w:rsid w:val="00AC28F4"/>
    <w:rsid w:val="00AC3A5B"/>
    <w:rsid w:val="00AC5153"/>
    <w:rsid w:val="00AC7D9B"/>
    <w:rsid w:val="00AD0492"/>
    <w:rsid w:val="00AD22BD"/>
    <w:rsid w:val="00AD6461"/>
    <w:rsid w:val="00AD688B"/>
    <w:rsid w:val="00AD732C"/>
    <w:rsid w:val="00AD7760"/>
    <w:rsid w:val="00AE0260"/>
    <w:rsid w:val="00AE0A08"/>
    <w:rsid w:val="00AE278D"/>
    <w:rsid w:val="00AE5215"/>
    <w:rsid w:val="00AE53CF"/>
    <w:rsid w:val="00AF1FEE"/>
    <w:rsid w:val="00AF6576"/>
    <w:rsid w:val="00AF73C4"/>
    <w:rsid w:val="00B00765"/>
    <w:rsid w:val="00B0095A"/>
    <w:rsid w:val="00B02382"/>
    <w:rsid w:val="00B0679D"/>
    <w:rsid w:val="00B130E6"/>
    <w:rsid w:val="00B1344A"/>
    <w:rsid w:val="00B14091"/>
    <w:rsid w:val="00B178E6"/>
    <w:rsid w:val="00B20620"/>
    <w:rsid w:val="00B2219F"/>
    <w:rsid w:val="00B2224D"/>
    <w:rsid w:val="00B249BD"/>
    <w:rsid w:val="00B251B1"/>
    <w:rsid w:val="00B256A4"/>
    <w:rsid w:val="00B2723A"/>
    <w:rsid w:val="00B27417"/>
    <w:rsid w:val="00B3170C"/>
    <w:rsid w:val="00B32C89"/>
    <w:rsid w:val="00B42CF4"/>
    <w:rsid w:val="00B4398A"/>
    <w:rsid w:val="00B45A59"/>
    <w:rsid w:val="00B55EC8"/>
    <w:rsid w:val="00B5642C"/>
    <w:rsid w:val="00B6204C"/>
    <w:rsid w:val="00B6349B"/>
    <w:rsid w:val="00B66BD6"/>
    <w:rsid w:val="00B67A23"/>
    <w:rsid w:val="00B71250"/>
    <w:rsid w:val="00B73393"/>
    <w:rsid w:val="00B74360"/>
    <w:rsid w:val="00B75909"/>
    <w:rsid w:val="00B80FD1"/>
    <w:rsid w:val="00B82BEC"/>
    <w:rsid w:val="00B84A84"/>
    <w:rsid w:val="00B84EAD"/>
    <w:rsid w:val="00B8732B"/>
    <w:rsid w:val="00B90A85"/>
    <w:rsid w:val="00B90CB6"/>
    <w:rsid w:val="00B92234"/>
    <w:rsid w:val="00B9267D"/>
    <w:rsid w:val="00B95564"/>
    <w:rsid w:val="00B959FA"/>
    <w:rsid w:val="00B96356"/>
    <w:rsid w:val="00B9662B"/>
    <w:rsid w:val="00B97C03"/>
    <w:rsid w:val="00BA05AF"/>
    <w:rsid w:val="00BA0A3F"/>
    <w:rsid w:val="00BA0C74"/>
    <w:rsid w:val="00BA2C5E"/>
    <w:rsid w:val="00BB1429"/>
    <w:rsid w:val="00BB75BA"/>
    <w:rsid w:val="00BC0FD4"/>
    <w:rsid w:val="00BC4498"/>
    <w:rsid w:val="00BC50A1"/>
    <w:rsid w:val="00BC5B44"/>
    <w:rsid w:val="00BC5D44"/>
    <w:rsid w:val="00BC63D8"/>
    <w:rsid w:val="00BC6B6F"/>
    <w:rsid w:val="00BC6F3E"/>
    <w:rsid w:val="00BD107A"/>
    <w:rsid w:val="00BD27E0"/>
    <w:rsid w:val="00BD5B41"/>
    <w:rsid w:val="00BD6971"/>
    <w:rsid w:val="00BE1FFC"/>
    <w:rsid w:val="00BE3895"/>
    <w:rsid w:val="00BE4497"/>
    <w:rsid w:val="00BE4D01"/>
    <w:rsid w:val="00BF0C9A"/>
    <w:rsid w:val="00BF2825"/>
    <w:rsid w:val="00BF419E"/>
    <w:rsid w:val="00BF553A"/>
    <w:rsid w:val="00BF6703"/>
    <w:rsid w:val="00BF755C"/>
    <w:rsid w:val="00C000FA"/>
    <w:rsid w:val="00C00E53"/>
    <w:rsid w:val="00C0713B"/>
    <w:rsid w:val="00C0764A"/>
    <w:rsid w:val="00C15266"/>
    <w:rsid w:val="00C15471"/>
    <w:rsid w:val="00C1715C"/>
    <w:rsid w:val="00C175E9"/>
    <w:rsid w:val="00C20105"/>
    <w:rsid w:val="00C2027E"/>
    <w:rsid w:val="00C212AF"/>
    <w:rsid w:val="00C25D8C"/>
    <w:rsid w:val="00C2676E"/>
    <w:rsid w:val="00C26A1D"/>
    <w:rsid w:val="00C301C9"/>
    <w:rsid w:val="00C31374"/>
    <w:rsid w:val="00C341BC"/>
    <w:rsid w:val="00C348F8"/>
    <w:rsid w:val="00C3534D"/>
    <w:rsid w:val="00C42F96"/>
    <w:rsid w:val="00C461E9"/>
    <w:rsid w:val="00C50CA2"/>
    <w:rsid w:val="00C511B8"/>
    <w:rsid w:val="00C55A3A"/>
    <w:rsid w:val="00C57B90"/>
    <w:rsid w:val="00C6056A"/>
    <w:rsid w:val="00C640B1"/>
    <w:rsid w:val="00C6523A"/>
    <w:rsid w:val="00C65B32"/>
    <w:rsid w:val="00C65BF9"/>
    <w:rsid w:val="00C6762A"/>
    <w:rsid w:val="00C729E0"/>
    <w:rsid w:val="00C73AA6"/>
    <w:rsid w:val="00C73CA6"/>
    <w:rsid w:val="00C743BD"/>
    <w:rsid w:val="00C7569C"/>
    <w:rsid w:val="00C76B6D"/>
    <w:rsid w:val="00C76F2B"/>
    <w:rsid w:val="00C80126"/>
    <w:rsid w:val="00C8028D"/>
    <w:rsid w:val="00C84DCC"/>
    <w:rsid w:val="00C87BDB"/>
    <w:rsid w:val="00C941DA"/>
    <w:rsid w:val="00CA3AC3"/>
    <w:rsid w:val="00CA5F23"/>
    <w:rsid w:val="00CB0419"/>
    <w:rsid w:val="00CB5B78"/>
    <w:rsid w:val="00CC0BCA"/>
    <w:rsid w:val="00CC1240"/>
    <w:rsid w:val="00CC28A0"/>
    <w:rsid w:val="00CC44D4"/>
    <w:rsid w:val="00CD143E"/>
    <w:rsid w:val="00CE0575"/>
    <w:rsid w:val="00CE0647"/>
    <w:rsid w:val="00CE08F2"/>
    <w:rsid w:val="00CE162A"/>
    <w:rsid w:val="00CE3F3A"/>
    <w:rsid w:val="00CE63B7"/>
    <w:rsid w:val="00CF0855"/>
    <w:rsid w:val="00CF08F6"/>
    <w:rsid w:val="00CF3020"/>
    <w:rsid w:val="00CF3684"/>
    <w:rsid w:val="00CF60E3"/>
    <w:rsid w:val="00D02059"/>
    <w:rsid w:val="00D0261F"/>
    <w:rsid w:val="00D02FCB"/>
    <w:rsid w:val="00D07BD9"/>
    <w:rsid w:val="00D13837"/>
    <w:rsid w:val="00D14137"/>
    <w:rsid w:val="00D1509C"/>
    <w:rsid w:val="00D15FE5"/>
    <w:rsid w:val="00D161A2"/>
    <w:rsid w:val="00D163EC"/>
    <w:rsid w:val="00D31D66"/>
    <w:rsid w:val="00D347A9"/>
    <w:rsid w:val="00D36BB1"/>
    <w:rsid w:val="00D37EFA"/>
    <w:rsid w:val="00D535DC"/>
    <w:rsid w:val="00D53FE6"/>
    <w:rsid w:val="00D54C15"/>
    <w:rsid w:val="00D567CF"/>
    <w:rsid w:val="00D571B5"/>
    <w:rsid w:val="00D60BB8"/>
    <w:rsid w:val="00D618B2"/>
    <w:rsid w:val="00D64030"/>
    <w:rsid w:val="00D702AE"/>
    <w:rsid w:val="00D70FB5"/>
    <w:rsid w:val="00D76C3A"/>
    <w:rsid w:val="00D81034"/>
    <w:rsid w:val="00D839B6"/>
    <w:rsid w:val="00D85F37"/>
    <w:rsid w:val="00D874D9"/>
    <w:rsid w:val="00D9419C"/>
    <w:rsid w:val="00D94885"/>
    <w:rsid w:val="00D957C8"/>
    <w:rsid w:val="00DA0AE9"/>
    <w:rsid w:val="00DA4D55"/>
    <w:rsid w:val="00DA4F55"/>
    <w:rsid w:val="00DB18DA"/>
    <w:rsid w:val="00DB660C"/>
    <w:rsid w:val="00DB7593"/>
    <w:rsid w:val="00DC2582"/>
    <w:rsid w:val="00DC2BA3"/>
    <w:rsid w:val="00DC33F5"/>
    <w:rsid w:val="00DC5A91"/>
    <w:rsid w:val="00DC6A9E"/>
    <w:rsid w:val="00DD3175"/>
    <w:rsid w:val="00DD43DA"/>
    <w:rsid w:val="00DD4935"/>
    <w:rsid w:val="00DD6882"/>
    <w:rsid w:val="00DD6A2C"/>
    <w:rsid w:val="00DE5D64"/>
    <w:rsid w:val="00DE7971"/>
    <w:rsid w:val="00DF0245"/>
    <w:rsid w:val="00DF3D87"/>
    <w:rsid w:val="00DF78CA"/>
    <w:rsid w:val="00E0194E"/>
    <w:rsid w:val="00E1137A"/>
    <w:rsid w:val="00E12411"/>
    <w:rsid w:val="00E229D7"/>
    <w:rsid w:val="00E27C64"/>
    <w:rsid w:val="00E3167C"/>
    <w:rsid w:val="00E32E42"/>
    <w:rsid w:val="00E3523E"/>
    <w:rsid w:val="00E35C6F"/>
    <w:rsid w:val="00E402B5"/>
    <w:rsid w:val="00E41801"/>
    <w:rsid w:val="00E45061"/>
    <w:rsid w:val="00E45990"/>
    <w:rsid w:val="00E474E4"/>
    <w:rsid w:val="00E51B4C"/>
    <w:rsid w:val="00E53428"/>
    <w:rsid w:val="00E53EDF"/>
    <w:rsid w:val="00E5567C"/>
    <w:rsid w:val="00E6146B"/>
    <w:rsid w:val="00E628D2"/>
    <w:rsid w:val="00E63508"/>
    <w:rsid w:val="00E6513E"/>
    <w:rsid w:val="00E70164"/>
    <w:rsid w:val="00E70E9C"/>
    <w:rsid w:val="00E74415"/>
    <w:rsid w:val="00E75630"/>
    <w:rsid w:val="00E75E04"/>
    <w:rsid w:val="00E76289"/>
    <w:rsid w:val="00E763B3"/>
    <w:rsid w:val="00E77869"/>
    <w:rsid w:val="00E8790C"/>
    <w:rsid w:val="00E91D20"/>
    <w:rsid w:val="00EA0AEC"/>
    <w:rsid w:val="00EA0F79"/>
    <w:rsid w:val="00EA6145"/>
    <w:rsid w:val="00EA6508"/>
    <w:rsid w:val="00EB1760"/>
    <w:rsid w:val="00EB5DE7"/>
    <w:rsid w:val="00EB5E9D"/>
    <w:rsid w:val="00EB6A7D"/>
    <w:rsid w:val="00EB7008"/>
    <w:rsid w:val="00EC101E"/>
    <w:rsid w:val="00EC1E5D"/>
    <w:rsid w:val="00EC43E5"/>
    <w:rsid w:val="00EC4598"/>
    <w:rsid w:val="00ED30D3"/>
    <w:rsid w:val="00EE5745"/>
    <w:rsid w:val="00EF0493"/>
    <w:rsid w:val="00EF1B81"/>
    <w:rsid w:val="00EF3DA8"/>
    <w:rsid w:val="00F02BA8"/>
    <w:rsid w:val="00F02EC9"/>
    <w:rsid w:val="00F03212"/>
    <w:rsid w:val="00F0467E"/>
    <w:rsid w:val="00F0742A"/>
    <w:rsid w:val="00F0798C"/>
    <w:rsid w:val="00F10698"/>
    <w:rsid w:val="00F12525"/>
    <w:rsid w:val="00F13889"/>
    <w:rsid w:val="00F24FBA"/>
    <w:rsid w:val="00F25464"/>
    <w:rsid w:val="00F271EB"/>
    <w:rsid w:val="00F303C6"/>
    <w:rsid w:val="00F3141A"/>
    <w:rsid w:val="00F3200B"/>
    <w:rsid w:val="00F334A9"/>
    <w:rsid w:val="00F335AF"/>
    <w:rsid w:val="00F374D7"/>
    <w:rsid w:val="00F37509"/>
    <w:rsid w:val="00F42D38"/>
    <w:rsid w:val="00F443B2"/>
    <w:rsid w:val="00F443FB"/>
    <w:rsid w:val="00F44484"/>
    <w:rsid w:val="00F478F5"/>
    <w:rsid w:val="00F47CFB"/>
    <w:rsid w:val="00F54D64"/>
    <w:rsid w:val="00F56A36"/>
    <w:rsid w:val="00F578CE"/>
    <w:rsid w:val="00F67148"/>
    <w:rsid w:val="00F724B7"/>
    <w:rsid w:val="00F75BA8"/>
    <w:rsid w:val="00F81D07"/>
    <w:rsid w:val="00F84F90"/>
    <w:rsid w:val="00F857B8"/>
    <w:rsid w:val="00F85F73"/>
    <w:rsid w:val="00F91313"/>
    <w:rsid w:val="00F920C9"/>
    <w:rsid w:val="00F9427B"/>
    <w:rsid w:val="00F96A29"/>
    <w:rsid w:val="00F97CCA"/>
    <w:rsid w:val="00FA54F0"/>
    <w:rsid w:val="00FB1A0E"/>
    <w:rsid w:val="00FB1FD7"/>
    <w:rsid w:val="00FB259C"/>
    <w:rsid w:val="00FB42D4"/>
    <w:rsid w:val="00FB6F5B"/>
    <w:rsid w:val="00FB76AE"/>
    <w:rsid w:val="00FB7AD5"/>
    <w:rsid w:val="00FC00FF"/>
    <w:rsid w:val="00FC172A"/>
    <w:rsid w:val="00FC312D"/>
    <w:rsid w:val="00FC636C"/>
    <w:rsid w:val="00FC6689"/>
    <w:rsid w:val="00FC764A"/>
    <w:rsid w:val="00FC7D1E"/>
    <w:rsid w:val="00FD0904"/>
    <w:rsid w:val="00FD1789"/>
    <w:rsid w:val="00FD1AC3"/>
    <w:rsid w:val="00FD2933"/>
    <w:rsid w:val="00FD2BC0"/>
    <w:rsid w:val="00FD45E8"/>
    <w:rsid w:val="00FD4FA9"/>
    <w:rsid w:val="00FE4498"/>
    <w:rsid w:val="00FF296C"/>
    <w:rsid w:val="00FF4F60"/>
    <w:rsid w:val="00FF50A2"/>
    <w:rsid w:val="04B942AB"/>
    <w:rsid w:val="055DD9A7"/>
    <w:rsid w:val="055F188B"/>
    <w:rsid w:val="0AB33306"/>
    <w:rsid w:val="11FC2152"/>
    <w:rsid w:val="12D9335A"/>
    <w:rsid w:val="1320338C"/>
    <w:rsid w:val="142618B5"/>
    <w:rsid w:val="163738D2"/>
    <w:rsid w:val="167C0BEA"/>
    <w:rsid w:val="199E7C3A"/>
    <w:rsid w:val="1B020BE8"/>
    <w:rsid w:val="1B951279"/>
    <w:rsid w:val="1D13C35E"/>
    <w:rsid w:val="1DD52ED1"/>
    <w:rsid w:val="1DE912EE"/>
    <w:rsid w:val="1E4AD1EF"/>
    <w:rsid w:val="1F9E0BEA"/>
    <w:rsid w:val="20877F4C"/>
    <w:rsid w:val="2237A65D"/>
    <w:rsid w:val="2647F73F"/>
    <w:rsid w:val="2679C162"/>
    <w:rsid w:val="26C6B70D"/>
    <w:rsid w:val="2AA582C0"/>
    <w:rsid w:val="2C12CAFB"/>
    <w:rsid w:val="2CB42CEE"/>
    <w:rsid w:val="2D2EAC2B"/>
    <w:rsid w:val="2F4884E5"/>
    <w:rsid w:val="307137FD"/>
    <w:rsid w:val="316AF767"/>
    <w:rsid w:val="31AAFC57"/>
    <w:rsid w:val="3352B22E"/>
    <w:rsid w:val="33E872FA"/>
    <w:rsid w:val="34AD9801"/>
    <w:rsid w:val="36E49457"/>
    <w:rsid w:val="36F69B2C"/>
    <w:rsid w:val="3987D94B"/>
    <w:rsid w:val="39F61A55"/>
    <w:rsid w:val="3DB75735"/>
    <w:rsid w:val="3EE9FA65"/>
    <w:rsid w:val="41BCEAF3"/>
    <w:rsid w:val="424EBB63"/>
    <w:rsid w:val="457736D5"/>
    <w:rsid w:val="46F1A30B"/>
    <w:rsid w:val="47F3B89F"/>
    <w:rsid w:val="48AC8499"/>
    <w:rsid w:val="4A55EEB0"/>
    <w:rsid w:val="4B46CD46"/>
    <w:rsid w:val="4BDD572A"/>
    <w:rsid w:val="54134422"/>
    <w:rsid w:val="54332E12"/>
    <w:rsid w:val="5871B364"/>
    <w:rsid w:val="5C2C27FA"/>
    <w:rsid w:val="62BD429D"/>
    <w:rsid w:val="6434606D"/>
    <w:rsid w:val="658931D6"/>
    <w:rsid w:val="6648D92E"/>
    <w:rsid w:val="66E71372"/>
    <w:rsid w:val="677F7FB2"/>
    <w:rsid w:val="70E08591"/>
    <w:rsid w:val="71883F9E"/>
    <w:rsid w:val="71C66E5F"/>
    <w:rsid w:val="72DFED3B"/>
    <w:rsid w:val="735684FA"/>
    <w:rsid w:val="7372AE75"/>
    <w:rsid w:val="74957D8B"/>
    <w:rsid w:val="7CA1519A"/>
    <w:rsid w:val="7CF78F62"/>
    <w:rsid w:val="7D96018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6C3E08"/>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6C3E08"/>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6C3E08"/>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6C3E08"/>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6C3E08"/>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6C3E08"/>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6C3E08"/>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6C3E08"/>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6C3E08"/>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6C3E08"/>
    <w:pPr>
      <w:numPr>
        <w:numId w:val="6"/>
      </w:numPr>
      <w:ind w:left="562" w:hanging="562"/>
      <w:contextualSpacing/>
    </w:pPr>
  </w:style>
  <w:style w:type="paragraph" w:styleId="Paragraphedeliste">
    <w:name w:val="List Paragraph"/>
    <w:basedOn w:val="Normal"/>
    <w:uiPriority w:val="34"/>
    <w:qFormat/>
    <w:rsid w:val="006C3E08"/>
    <w:pPr>
      <w:numPr>
        <w:numId w:val="13"/>
      </w:numPr>
      <w:contextualSpacing/>
    </w:pPr>
  </w:style>
  <w:style w:type="paragraph" w:customStyle="1" w:styleId="SOPBulletB">
    <w:name w:val="SOP Bullet B"/>
    <w:basedOn w:val="Normal"/>
    <w:qFormat/>
    <w:rsid w:val="006C3E08"/>
    <w:pPr>
      <w:numPr>
        <w:numId w:val="7"/>
      </w:numPr>
      <w:spacing w:before="60" w:after="60"/>
      <w:ind w:left="1124" w:hanging="562"/>
    </w:pPr>
    <w:rPr>
      <w:szCs w:val="24"/>
    </w:rPr>
  </w:style>
  <w:style w:type="paragraph" w:customStyle="1" w:styleId="SOPBulletC">
    <w:name w:val="SOP Bullet C"/>
    <w:basedOn w:val="Normal"/>
    <w:qFormat/>
    <w:rsid w:val="006C3E08"/>
    <w:pPr>
      <w:spacing w:before="60" w:after="60"/>
    </w:pPr>
    <w:rPr>
      <w:szCs w:val="24"/>
    </w:rPr>
  </w:style>
  <w:style w:type="paragraph" w:customStyle="1" w:styleId="SOPBulletD">
    <w:name w:val="SOP Bullet D"/>
    <w:basedOn w:val="Normal"/>
    <w:qFormat/>
    <w:rsid w:val="006C3E08"/>
    <w:pPr>
      <w:numPr>
        <w:numId w:val="9"/>
      </w:numPr>
      <w:spacing w:before="60" w:after="60"/>
      <w:ind w:left="2247" w:hanging="562"/>
    </w:pPr>
    <w:rPr>
      <w:szCs w:val="24"/>
    </w:rPr>
  </w:style>
  <w:style w:type="paragraph" w:customStyle="1" w:styleId="SOPBulletE">
    <w:name w:val="SOP Bullet E"/>
    <w:basedOn w:val="Normal"/>
    <w:qFormat/>
    <w:rsid w:val="0059613B"/>
    <w:pPr>
      <w:numPr>
        <w:numId w:val="10"/>
      </w:numPr>
      <w:spacing w:before="60" w:after="60"/>
      <w:ind w:left="2835" w:hanging="567"/>
    </w:pPr>
    <w:rPr>
      <w:szCs w:val="24"/>
    </w:rPr>
  </w:style>
  <w:style w:type="paragraph" w:customStyle="1" w:styleId="SOPBulletA">
    <w:name w:val="SOP Bullet A"/>
    <w:basedOn w:val="Normal"/>
    <w:qFormat/>
    <w:rsid w:val="006C3E08"/>
    <w:pPr>
      <w:numPr>
        <w:numId w:val="11"/>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5"/>
      </w:numPr>
      <w:contextualSpacing/>
    </w:pPr>
  </w:style>
  <w:style w:type="paragraph" w:styleId="Listenumros3">
    <w:name w:val="List Number 3"/>
    <w:basedOn w:val="Normal"/>
    <w:uiPriority w:val="99"/>
    <w:unhideWhenUsed/>
    <w:rsid w:val="00381E3D"/>
    <w:pPr>
      <w:numPr>
        <w:numId w:val="4"/>
      </w:numPr>
      <w:contextualSpacing/>
    </w:pPr>
  </w:style>
  <w:style w:type="paragraph" w:styleId="Listenumros4">
    <w:name w:val="List Number 4"/>
    <w:basedOn w:val="Normal"/>
    <w:uiPriority w:val="99"/>
    <w:unhideWhenUsed/>
    <w:rsid w:val="00381E3D"/>
    <w:pPr>
      <w:numPr>
        <w:numId w:val="3"/>
      </w:numPr>
      <w:contextualSpacing/>
    </w:pPr>
  </w:style>
  <w:style w:type="paragraph" w:styleId="Listenumros5">
    <w:name w:val="List Number 5"/>
    <w:basedOn w:val="Normal"/>
    <w:uiPriority w:val="99"/>
    <w:unhideWhenUsed/>
    <w:rsid w:val="00381E3D"/>
    <w:pPr>
      <w:numPr>
        <w:numId w:val="2"/>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12"/>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unhideWhenUsed/>
    <w:rsid w:val="00474636"/>
    <w:rPr>
      <w:vertAlign w:val="superscript"/>
    </w:rPr>
  </w:style>
  <w:style w:type="paragraph" w:customStyle="1" w:styleId="Liste1abc">
    <w:name w:val="Liste 1 abc"/>
    <w:basedOn w:val="Normal"/>
    <w:rsid w:val="00446681"/>
    <w:pPr>
      <w:numPr>
        <w:numId w:val="14"/>
      </w:numPr>
      <w:tabs>
        <w:tab w:val="left" w:pos="562"/>
      </w:tabs>
      <w:spacing w:before="60" w:after="60"/>
      <w:ind w:left="562" w:hanging="562"/>
    </w:pPr>
  </w:style>
  <w:style w:type="paragraph" w:customStyle="1" w:styleId="Liste2abc">
    <w:name w:val="Liste 2 abc"/>
    <w:basedOn w:val="Normal"/>
    <w:rsid w:val="00446681"/>
    <w:pPr>
      <w:numPr>
        <w:numId w:val="15"/>
      </w:numPr>
      <w:tabs>
        <w:tab w:val="left" w:pos="1123"/>
      </w:tabs>
      <w:spacing w:before="60" w:after="60"/>
      <w:ind w:left="1124" w:hanging="562"/>
    </w:pPr>
  </w:style>
  <w:style w:type="paragraph" w:customStyle="1" w:styleId="Liste3abc">
    <w:name w:val="Liste 3 abc"/>
    <w:basedOn w:val="Normal"/>
    <w:rsid w:val="00446681"/>
    <w:pPr>
      <w:numPr>
        <w:numId w:val="16"/>
      </w:numPr>
      <w:spacing w:before="60" w:after="60"/>
      <w:ind w:left="1685" w:hanging="562"/>
    </w:pPr>
  </w:style>
  <w:style w:type="paragraph" w:customStyle="1" w:styleId="Texte2">
    <w:name w:val="Texte 2"/>
    <w:basedOn w:val="Normal"/>
    <w:rsid w:val="00F3200B"/>
    <w:pPr>
      <w:ind w:left="562"/>
    </w:pPr>
  </w:style>
  <w:style w:type="paragraph" w:customStyle="1" w:styleId="Liste4abc">
    <w:name w:val="Liste 4 abc"/>
    <w:basedOn w:val="Normal"/>
    <w:rsid w:val="00F3200B"/>
    <w:pPr>
      <w:numPr>
        <w:numId w:val="17"/>
      </w:numPr>
      <w:spacing w:before="60" w:after="60"/>
      <w:ind w:left="2247" w:hanging="562"/>
    </w:pPr>
  </w:style>
  <w:style w:type="paragraph" w:customStyle="1" w:styleId="Texte4">
    <w:name w:val="Texte 4"/>
    <w:basedOn w:val="Normal"/>
    <w:rsid w:val="00F3200B"/>
    <w:pPr>
      <w:ind w:left="1685"/>
    </w:pPr>
  </w:style>
  <w:style w:type="paragraph" w:customStyle="1" w:styleId="Texte3">
    <w:name w:val="Texte 3"/>
    <w:basedOn w:val="Normal"/>
    <w:rsid w:val="00F3200B"/>
    <w:pPr>
      <w:ind w:left="1138"/>
    </w:pPr>
  </w:style>
  <w:style w:type="paragraph" w:customStyle="1" w:styleId="Textetableau">
    <w:name w:val="Texte tableau"/>
    <w:basedOn w:val="Normal"/>
    <w:rsid w:val="00B97C03"/>
    <w:pPr>
      <w:spacing w:before="40" w:after="40"/>
      <w:jc w:val="left"/>
    </w:pPr>
    <w:rPr>
      <w:rFonts w:ascii="Calibri" w:eastAsia="Calibri" w:hAnsi="Calibri" w:cs="Times New Roman"/>
      <w:lang w:eastAsia="en-CA"/>
    </w:rPr>
  </w:style>
  <w:style w:type="paragraph" w:customStyle="1" w:styleId="TitreTableau">
    <w:name w:val="Titre Tableau"/>
    <w:basedOn w:val="Textetableau"/>
    <w:rsid w:val="00B97C03"/>
    <w:pPr>
      <w:jc w:val="center"/>
    </w:pPr>
    <w:rPr>
      <w:b/>
      <w:color w:val="FFFFFF" w:themeColor="background1"/>
    </w:rPr>
  </w:style>
  <w:style w:type="paragraph" w:customStyle="1" w:styleId="Listetab1abc">
    <w:name w:val="Liste tab 1abc"/>
    <w:basedOn w:val="Normal"/>
    <w:rsid w:val="00B97C03"/>
    <w:pPr>
      <w:numPr>
        <w:numId w:val="18"/>
      </w:numPr>
      <w:spacing w:before="40" w:after="40"/>
      <w:ind w:left="360"/>
      <w:jc w:val="left"/>
    </w:pPr>
    <w:rPr>
      <w:rFonts w:ascii="Calibri" w:eastAsia="Calibri" w:hAnsi="Calibri" w:cs="Times New Roman"/>
      <w:lang w:eastAsia="en-CA"/>
    </w:rPr>
  </w:style>
  <w:style w:type="character" w:styleId="Lienhypertexte">
    <w:name w:val="Hyperlink"/>
    <w:basedOn w:val="Policepardfaut"/>
    <w:uiPriority w:val="99"/>
    <w:unhideWhenUsed/>
    <w:rsid w:val="006C3E08"/>
    <w:rPr>
      <w:color w:val="0563C1" w:themeColor="hyperlink"/>
      <w:u w:val="single"/>
    </w:rPr>
  </w:style>
  <w:style w:type="character" w:customStyle="1" w:styleId="Mentionnonrsolue1">
    <w:name w:val="Mention non résolue1"/>
    <w:basedOn w:val="Policepardfaut"/>
    <w:uiPriority w:val="99"/>
    <w:rsid w:val="00B130E6"/>
    <w:rPr>
      <w:color w:val="605E5C"/>
      <w:shd w:val="clear" w:color="auto" w:fill="E1DFDD"/>
    </w:rPr>
  </w:style>
  <w:style w:type="paragraph" w:styleId="Rvision">
    <w:name w:val="Revision"/>
    <w:hidden/>
    <w:uiPriority w:val="99"/>
    <w:semiHidden/>
    <w:rsid w:val="006C3E08"/>
    <w:rPr>
      <w:sz w:val="22"/>
      <w:szCs w:val="22"/>
      <w:lang w:val="fr-CA"/>
    </w:rPr>
  </w:style>
  <w:style w:type="table" w:customStyle="1" w:styleId="TableNormal1">
    <w:name w:val="Table Normal1"/>
    <w:uiPriority w:val="2"/>
    <w:semiHidden/>
    <w:unhideWhenUsed/>
    <w:qFormat/>
    <w:rsid w:val="006C3E08"/>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3E08"/>
    <w:pPr>
      <w:widowControl w:val="0"/>
      <w:spacing w:before="0" w:after="0"/>
      <w:jc w:val="left"/>
    </w:pPr>
    <w:rPr>
      <w:lang w:val="en-US"/>
    </w:rPr>
  </w:style>
  <w:style w:type="paragraph" w:styleId="Corpsdetexte">
    <w:name w:val="Body Text"/>
    <w:basedOn w:val="Normal"/>
    <w:link w:val="CorpsdetexteCar"/>
    <w:uiPriority w:val="1"/>
    <w:qFormat/>
    <w:rsid w:val="006C3E08"/>
    <w:pPr>
      <w:widowControl w:val="0"/>
      <w:spacing w:before="0" w:after="0"/>
      <w:ind w:left="127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6C3E08"/>
    <w:rPr>
      <w:rFonts w:ascii="Arial" w:eastAsia="Arial" w:hAnsi="Arial"/>
      <w:lang w:val="en-US"/>
    </w:rPr>
  </w:style>
  <w:style w:type="character" w:customStyle="1" w:styleId="Mentionnonrsolue10">
    <w:name w:val="Mention non résolue10"/>
    <w:basedOn w:val="Policepardfaut"/>
    <w:uiPriority w:val="99"/>
    <w:rsid w:val="006C3E08"/>
    <w:rPr>
      <w:color w:val="605E5C"/>
      <w:shd w:val="clear" w:color="auto" w:fill="E1DFDD"/>
    </w:rPr>
  </w:style>
  <w:style w:type="character" w:customStyle="1" w:styleId="normaltextrun">
    <w:name w:val="normaltextrun"/>
    <w:basedOn w:val="Policepardfaut"/>
    <w:rsid w:val="003D4D5F"/>
  </w:style>
  <w:style w:type="character" w:customStyle="1" w:styleId="eop">
    <w:name w:val="eop"/>
    <w:basedOn w:val="Policepardfaut"/>
    <w:rsid w:val="003D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7342">
      <w:bodyDiv w:val="1"/>
      <w:marLeft w:val="0"/>
      <w:marRight w:val="0"/>
      <w:marTop w:val="0"/>
      <w:marBottom w:val="0"/>
      <w:divBdr>
        <w:top w:val="none" w:sz="0" w:space="0" w:color="auto"/>
        <w:left w:val="none" w:sz="0" w:space="0" w:color="auto"/>
        <w:bottom w:val="none" w:sz="0" w:space="0" w:color="auto"/>
        <w:right w:val="none" w:sz="0" w:space="0" w:color="auto"/>
      </w:divBdr>
    </w:div>
    <w:div w:id="387998484">
      <w:bodyDiv w:val="1"/>
      <w:marLeft w:val="0"/>
      <w:marRight w:val="0"/>
      <w:marTop w:val="0"/>
      <w:marBottom w:val="0"/>
      <w:divBdr>
        <w:top w:val="none" w:sz="0" w:space="0" w:color="auto"/>
        <w:left w:val="none" w:sz="0" w:space="0" w:color="auto"/>
        <w:bottom w:val="none" w:sz="0" w:space="0" w:color="auto"/>
        <w:right w:val="none" w:sz="0" w:space="0" w:color="auto"/>
      </w:divBdr>
    </w:div>
    <w:div w:id="1017119995">
      <w:bodyDiv w:val="1"/>
      <w:marLeft w:val="0"/>
      <w:marRight w:val="0"/>
      <w:marTop w:val="0"/>
      <w:marBottom w:val="0"/>
      <w:divBdr>
        <w:top w:val="none" w:sz="0" w:space="0" w:color="auto"/>
        <w:left w:val="none" w:sz="0" w:space="0" w:color="auto"/>
        <w:bottom w:val="none" w:sz="0" w:space="0" w:color="auto"/>
        <w:right w:val="none" w:sz="0" w:space="0" w:color="auto"/>
      </w:divBdr>
    </w:div>
    <w:div w:id="1435055688">
      <w:bodyDiv w:val="1"/>
      <w:marLeft w:val="0"/>
      <w:marRight w:val="0"/>
      <w:marTop w:val="0"/>
      <w:marBottom w:val="0"/>
      <w:divBdr>
        <w:top w:val="none" w:sz="0" w:space="0" w:color="auto"/>
        <w:left w:val="none" w:sz="0" w:space="0" w:color="auto"/>
        <w:bottom w:val="none" w:sz="0" w:space="0" w:color="auto"/>
        <w:right w:val="none" w:sz="0" w:space="0" w:color="auto"/>
      </w:divBdr>
      <w:divsChild>
        <w:div w:id="172231968">
          <w:marLeft w:val="0"/>
          <w:marRight w:val="0"/>
          <w:marTop w:val="0"/>
          <w:marBottom w:val="0"/>
          <w:divBdr>
            <w:top w:val="none" w:sz="0" w:space="0" w:color="auto"/>
            <w:left w:val="none" w:sz="0" w:space="0" w:color="auto"/>
            <w:bottom w:val="none" w:sz="0" w:space="0" w:color="auto"/>
            <w:right w:val="none" w:sz="0" w:space="0" w:color="auto"/>
          </w:divBdr>
        </w:div>
        <w:div w:id="459112139">
          <w:marLeft w:val="0"/>
          <w:marRight w:val="0"/>
          <w:marTop w:val="0"/>
          <w:marBottom w:val="0"/>
          <w:divBdr>
            <w:top w:val="none" w:sz="0" w:space="0" w:color="auto"/>
            <w:left w:val="none" w:sz="0" w:space="0" w:color="auto"/>
            <w:bottom w:val="none" w:sz="0" w:space="0" w:color="auto"/>
            <w:right w:val="none" w:sz="0" w:space="0" w:color="auto"/>
          </w:divBdr>
        </w:div>
        <w:div w:id="476842225">
          <w:marLeft w:val="0"/>
          <w:marRight w:val="0"/>
          <w:marTop w:val="0"/>
          <w:marBottom w:val="0"/>
          <w:divBdr>
            <w:top w:val="none" w:sz="0" w:space="0" w:color="auto"/>
            <w:left w:val="none" w:sz="0" w:space="0" w:color="auto"/>
            <w:bottom w:val="none" w:sz="0" w:space="0" w:color="auto"/>
            <w:right w:val="none" w:sz="0" w:space="0" w:color="auto"/>
          </w:divBdr>
        </w:div>
        <w:div w:id="562258049">
          <w:marLeft w:val="0"/>
          <w:marRight w:val="0"/>
          <w:marTop w:val="0"/>
          <w:marBottom w:val="0"/>
          <w:divBdr>
            <w:top w:val="none" w:sz="0" w:space="0" w:color="auto"/>
            <w:left w:val="none" w:sz="0" w:space="0" w:color="auto"/>
            <w:bottom w:val="none" w:sz="0" w:space="0" w:color="auto"/>
            <w:right w:val="none" w:sz="0" w:space="0" w:color="auto"/>
          </w:divBdr>
        </w:div>
        <w:div w:id="1416436511">
          <w:marLeft w:val="0"/>
          <w:marRight w:val="0"/>
          <w:marTop w:val="0"/>
          <w:marBottom w:val="0"/>
          <w:divBdr>
            <w:top w:val="none" w:sz="0" w:space="0" w:color="auto"/>
            <w:left w:val="none" w:sz="0" w:space="0" w:color="auto"/>
            <w:bottom w:val="none" w:sz="0" w:space="0" w:color="auto"/>
            <w:right w:val="none" w:sz="0" w:space="0" w:color="auto"/>
          </w:divBdr>
        </w:div>
        <w:div w:id="1462184415">
          <w:marLeft w:val="0"/>
          <w:marRight w:val="0"/>
          <w:marTop w:val="0"/>
          <w:marBottom w:val="0"/>
          <w:divBdr>
            <w:top w:val="none" w:sz="0" w:space="0" w:color="auto"/>
            <w:left w:val="none" w:sz="0" w:space="0" w:color="auto"/>
            <w:bottom w:val="none" w:sz="0" w:space="0" w:color="auto"/>
            <w:right w:val="none" w:sz="0" w:space="0" w:color="auto"/>
          </w:divBdr>
        </w:div>
        <w:div w:id="1594825111">
          <w:marLeft w:val="0"/>
          <w:marRight w:val="0"/>
          <w:marTop w:val="0"/>
          <w:marBottom w:val="0"/>
          <w:divBdr>
            <w:top w:val="none" w:sz="0" w:space="0" w:color="auto"/>
            <w:left w:val="none" w:sz="0" w:space="0" w:color="auto"/>
            <w:bottom w:val="none" w:sz="0" w:space="0" w:color="auto"/>
            <w:right w:val="none" w:sz="0" w:space="0" w:color="auto"/>
          </w:divBdr>
        </w:div>
        <w:div w:id="1797602228">
          <w:marLeft w:val="0"/>
          <w:marRight w:val="0"/>
          <w:marTop w:val="0"/>
          <w:marBottom w:val="0"/>
          <w:divBdr>
            <w:top w:val="none" w:sz="0" w:space="0" w:color="auto"/>
            <w:left w:val="none" w:sz="0" w:space="0" w:color="auto"/>
            <w:bottom w:val="none" w:sz="0" w:space="0" w:color="auto"/>
            <w:right w:val="none" w:sz="0" w:space="0" w:color="auto"/>
          </w:divBdr>
        </w:div>
        <w:div w:id="2091191332">
          <w:marLeft w:val="0"/>
          <w:marRight w:val="0"/>
          <w:marTop w:val="0"/>
          <w:marBottom w:val="0"/>
          <w:divBdr>
            <w:top w:val="none" w:sz="0" w:space="0" w:color="auto"/>
            <w:left w:val="none" w:sz="0" w:space="0" w:color="auto"/>
            <w:bottom w:val="none" w:sz="0" w:space="0" w:color="auto"/>
            <w:right w:val="none" w:sz="0" w:space="0" w:color="auto"/>
          </w:divBdr>
        </w:div>
      </w:divsChild>
    </w:div>
    <w:div w:id="1454910000">
      <w:bodyDiv w:val="1"/>
      <w:marLeft w:val="0"/>
      <w:marRight w:val="0"/>
      <w:marTop w:val="0"/>
      <w:marBottom w:val="0"/>
      <w:divBdr>
        <w:top w:val="none" w:sz="0" w:space="0" w:color="auto"/>
        <w:left w:val="none" w:sz="0" w:space="0" w:color="auto"/>
        <w:bottom w:val="none" w:sz="0" w:space="0" w:color="auto"/>
        <w:right w:val="none" w:sz="0" w:space="0" w:color="auto"/>
      </w:divBdr>
    </w:div>
    <w:div w:id="1605648542">
      <w:bodyDiv w:val="1"/>
      <w:marLeft w:val="0"/>
      <w:marRight w:val="0"/>
      <w:marTop w:val="0"/>
      <w:marBottom w:val="0"/>
      <w:divBdr>
        <w:top w:val="none" w:sz="0" w:space="0" w:color="auto"/>
        <w:left w:val="none" w:sz="0" w:space="0" w:color="auto"/>
        <w:bottom w:val="none" w:sz="0" w:space="0" w:color="auto"/>
        <w:right w:val="none" w:sz="0" w:space="0" w:color="auto"/>
      </w:divBdr>
    </w:div>
    <w:div w:id="1682506631">
      <w:bodyDiv w:val="1"/>
      <w:marLeft w:val="0"/>
      <w:marRight w:val="0"/>
      <w:marTop w:val="0"/>
      <w:marBottom w:val="0"/>
      <w:divBdr>
        <w:top w:val="none" w:sz="0" w:space="0" w:color="auto"/>
        <w:left w:val="none" w:sz="0" w:space="0" w:color="auto"/>
        <w:bottom w:val="none" w:sz="0" w:space="0" w:color="auto"/>
        <w:right w:val="none" w:sz="0" w:space="0" w:color="auto"/>
      </w:divBdr>
    </w:div>
    <w:div w:id="1990014834">
      <w:bodyDiv w:val="1"/>
      <w:marLeft w:val="0"/>
      <w:marRight w:val="0"/>
      <w:marTop w:val="0"/>
      <w:marBottom w:val="0"/>
      <w:divBdr>
        <w:top w:val="none" w:sz="0" w:space="0" w:color="auto"/>
        <w:left w:val="none" w:sz="0" w:space="0" w:color="auto"/>
        <w:bottom w:val="none" w:sz="0" w:space="0" w:color="auto"/>
        <w:right w:val="none" w:sz="0" w:space="0" w:color="auto"/>
      </w:divBdr>
    </w:div>
    <w:div w:id="21080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r.ethique.gc.ca/pdf/fra/eptc2-2018/EPTC_2_FINALE_Web.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hs.gov/ohrp/policy/advevntguid.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cronca.app.box.com/s/95k7ydj574579ajvbe06/folder/34031700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da.gov/downloads/Drugs/GuidanceComplianceRegulatoryInformation/Guidances/ucm079753.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8DB3-B592-49CA-8028-A492E77B516F}">
  <ds:schemaRefs>
    <ds:schemaRef ds:uri="http://schemas.microsoft.com/sharepoint/v3/contenttype/forms"/>
  </ds:schemaRefs>
</ds:datastoreItem>
</file>

<file path=customXml/itemProps2.xml><?xml version="1.0" encoding="utf-8"?>
<ds:datastoreItem xmlns:ds="http://schemas.openxmlformats.org/officeDocument/2006/customXml" ds:itemID="{F11CE1E8-B3BF-4896-B18F-B78CB1E41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ABF07-53E1-4821-87EC-F094085F51A5}">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4.xml><?xml version="1.0" encoding="utf-8"?>
<ds:datastoreItem xmlns:ds="http://schemas.openxmlformats.org/officeDocument/2006/customXml" ds:itemID="{8752FCAA-BE91-41D3-B6BA-95F82C0E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4320</Words>
  <Characters>23762</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Auteur</cp:lastModifiedBy>
  <cp:revision>44</cp:revision>
  <dcterms:created xsi:type="dcterms:W3CDTF">2023-03-15T15:32:00Z</dcterms:created>
  <dcterms:modified xsi:type="dcterms:W3CDTF">2023-10-25T15:44:00Z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2022-09-28T19:56:56Z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44795e66-696c-4ac2-a79d-6e9e4b9a85e1</vt:lpwstr>
  </property>
  <property fmtid="{D5CDD505-2E9C-101B-9397-08002B2CF9AE}" pid="9" name="MSIP_Label_6a7d8d5d-78e2-4a62-9fcd-016eb5e4c57c_ContentBits">
    <vt:lpwstr>0</vt:lpwstr>
  </property>
  <property fmtid="{D5CDD505-2E9C-101B-9397-08002B2CF9AE}" pid="10" name="MediaServiceImageTags">
    <vt:lpwstr/>
  </property>
</Properties>
</file>