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347179" w:rsidRDefault="0030269A" w:rsidP="00446681"/>
    <w:tbl>
      <w:tblPr>
        <w:tblStyle w:val="Grilledutableau"/>
        <w:tblW w:w="0" w:type="auto"/>
        <w:tblLook w:val="04A0" w:firstRow="1" w:lastRow="0" w:firstColumn="1" w:lastColumn="0" w:noHBand="0" w:noVBand="1"/>
      </w:tblPr>
      <w:tblGrid>
        <w:gridCol w:w="2785"/>
        <w:gridCol w:w="7285"/>
      </w:tblGrid>
      <w:tr w:rsidR="000C1A55" w:rsidRPr="007D2AD3" w14:paraId="7217D512" w14:textId="77777777" w:rsidTr="00C348F8">
        <w:tc>
          <w:tcPr>
            <w:tcW w:w="2785" w:type="dxa"/>
          </w:tcPr>
          <w:p w14:paraId="51ED1B04" w14:textId="046C9D42" w:rsidR="000C1A55" w:rsidRPr="007D2AD3" w:rsidRDefault="000C1A55" w:rsidP="000C1A55">
            <w:pPr>
              <w:spacing w:before="60" w:after="60"/>
              <w:rPr>
                <w:b/>
              </w:rPr>
            </w:pPr>
            <w:r w:rsidRPr="007D2AD3">
              <w:rPr>
                <w:b/>
              </w:rPr>
              <w:t>Titre</w:t>
            </w:r>
          </w:p>
        </w:tc>
        <w:tc>
          <w:tcPr>
            <w:tcW w:w="7285" w:type="dxa"/>
          </w:tcPr>
          <w:p w14:paraId="10323B41" w14:textId="63BC8042" w:rsidR="000C1A55" w:rsidRPr="007D2AD3" w:rsidRDefault="000C1A55" w:rsidP="000C1A55">
            <w:pPr>
              <w:spacing w:before="60" w:after="60"/>
            </w:pPr>
            <w:r w:rsidRPr="00992ED3">
              <w:t xml:space="preserve">Conflits d’intérêts – </w:t>
            </w:r>
            <w:r w:rsidR="00845BAF">
              <w:t>Conseil d’administration de l’é</w:t>
            </w:r>
            <w:r w:rsidRPr="00992ED3">
              <w:t>tablissement</w:t>
            </w:r>
          </w:p>
        </w:tc>
      </w:tr>
      <w:tr w:rsidR="000C1A55" w:rsidRPr="007D2AD3" w14:paraId="19DC661E" w14:textId="77777777" w:rsidTr="00C348F8">
        <w:tc>
          <w:tcPr>
            <w:tcW w:w="2785" w:type="dxa"/>
          </w:tcPr>
          <w:p w14:paraId="1756170B" w14:textId="36E79194" w:rsidR="000C1A55" w:rsidRPr="007D2AD3" w:rsidRDefault="000C1A55" w:rsidP="000C1A55">
            <w:pPr>
              <w:spacing w:before="60" w:after="60"/>
              <w:rPr>
                <w:b/>
                <w:bCs/>
              </w:rPr>
            </w:pPr>
            <w:r w:rsidRPr="007D2AD3">
              <w:rPr>
                <w:b/>
                <w:bCs/>
              </w:rPr>
              <w:t>Code MON</w:t>
            </w:r>
          </w:p>
        </w:tc>
        <w:tc>
          <w:tcPr>
            <w:tcW w:w="7285" w:type="dxa"/>
          </w:tcPr>
          <w:p w14:paraId="5CBEAC14" w14:textId="48DE4B1D" w:rsidR="000C1A55" w:rsidRPr="007D2AD3" w:rsidRDefault="000C1A55" w:rsidP="000C1A55">
            <w:pPr>
              <w:spacing w:before="60" w:after="60"/>
            </w:pPr>
            <w:r w:rsidRPr="00992ED3">
              <w:t xml:space="preserve">MON-CER 105C-002 </w:t>
            </w:r>
          </w:p>
        </w:tc>
      </w:tr>
      <w:tr w:rsidR="000C1A55" w:rsidRPr="007D2AD3" w14:paraId="4FE41B28" w14:textId="77777777" w:rsidTr="00C348F8">
        <w:tc>
          <w:tcPr>
            <w:tcW w:w="2785" w:type="dxa"/>
          </w:tcPr>
          <w:p w14:paraId="37464120" w14:textId="005EE451" w:rsidR="000C1A55" w:rsidRPr="007D2AD3" w:rsidRDefault="000C1A55" w:rsidP="000C1A55">
            <w:pPr>
              <w:spacing w:before="60" w:after="60"/>
              <w:rPr>
                <w:b/>
                <w:bCs/>
              </w:rPr>
            </w:pPr>
            <w:r w:rsidRPr="007D2AD3">
              <w:rPr>
                <w:b/>
                <w:bCs/>
              </w:rPr>
              <w:t>Code MON N2/ACCER</w:t>
            </w:r>
          </w:p>
        </w:tc>
        <w:tc>
          <w:tcPr>
            <w:tcW w:w="7285" w:type="dxa"/>
          </w:tcPr>
          <w:p w14:paraId="1D3D3342" w14:textId="4840AF71" w:rsidR="000C1A55" w:rsidRPr="007D2AD3" w:rsidRDefault="000C1A55" w:rsidP="000C1A55">
            <w:pPr>
              <w:spacing w:before="60" w:after="60"/>
            </w:pPr>
            <w:r w:rsidRPr="00992ED3">
              <w:t>MON 105C-003</w:t>
            </w:r>
          </w:p>
        </w:tc>
      </w:tr>
      <w:tr w:rsidR="000C1A55" w:rsidRPr="007D2AD3" w14:paraId="15EAAB06" w14:textId="77777777" w:rsidTr="00C348F8">
        <w:tc>
          <w:tcPr>
            <w:tcW w:w="2785" w:type="dxa"/>
          </w:tcPr>
          <w:p w14:paraId="7CF29F80" w14:textId="23207FA0" w:rsidR="000C1A55" w:rsidRPr="007D2AD3" w:rsidRDefault="000C1A55" w:rsidP="000C1A55">
            <w:pPr>
              <w:spacing w:before="60" w:after="60"/>
              <w:rPr>
                <w:b/>
              </w:rPr>
            </w:pPr>
            <w:r w:rsidRPr="007D2AD3">
              <w:rPr>
                <w:b/>
              </w:rPr>
              <w:t>Entrée en vigueur</w:t>
            </w:r>
          </w:p>
        </w:tc>
        <w:tc>
          <w:tcPr>
            <w:tcW w:w="7285" w:type="dxa"/>
          </w:tcPr>
          <w:p w14:paraId="02DDE6C4" w14:textId="6D624EDC" w:rsidR="000C1A55" w:rsidRPr="007D2AD3" w:rsidRDefault="000C1A55" w:rsidP="000C1A55">
            <w:pPr>
              <w:spacing w:before="60" w:after="60"/>
            </w:pPr>
            <w:r w:rsidRPr="00992ED3">
              <w:t>YYYY-MM-DD</w:t>
            </w:r>
          </w:p>
        </w:tc>
      </w:tr>
    </w:tbl>
    <w:p w14:paraId="66AFB309" w14:textId="02074C90" w:rsidR="0030269A" w:rsidRPr="007D2AD3"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7D2AD3" w14:paraId="409863BA" w14:textId="77777777" w:rsidTr="00C348F8">
        <w:tc>
          <w:tcPr>
            <w:tcW w:w="2785" w:type="dxa"/>
            <w:shd w:val="clear" w:color="auto" w:fill="D9D9D9" w:themeFill="background1" w:themeFillShade="D9"/>
          </w:tcPr>
          <w:p w14:paraId="6D10F46B" w14:textId="77777777" w:rsidR="00C348F8" w:rsidRPr="007D2AD3" w:rsidRDefault="00C348F8" w:rsidP="009D3602">
            <w:pPr>
              <w:spacing w:before="60" w:after="60"/>
              <w:jc w:val="center"/>
              <w:rPr>
                <w:b/>
              </w:rPr>
            </w:pPr>
            <w:r w:rsidRPr="007D2AD3">
              <w:rPr>
                <w:b/>
              </w:rPr>
              <w:t>Statut</w:t>
            </w:r>
          </w:p>
        </w:tc>
        <w:tc>
          <w:tcPr>
            <w:tcW w:w="5007" w:type="dxa"/>
            <w:shd w:val="clear" w:color="auto" w:fill="D9D9D9" w:themeFill="background1" w:themeFillShade="D9"/>
          </w:tcPr>
          <w:p w14:paraId="3E7DB159" w14:textId="77777777" w:rsidR="00C348F8" w:rsidRPr="007D2AD3" w:rsidRDefault="00C348F8" w:rsidP="009D3602">
            <w:pPr>
              <w:spacing w:before="60" w:after="60"/>
              <w:jc w:val="center"/>
              <w:rPr>
                <w:b/>
              </w:rPr>
            </w:pPr>
            <w:r w:rsidRPr="007D2AD3">
              <w:rPr>
                <w:b/>
              </w:rPr>
              <w:t>Nom et titre</w:t>
            </w:r>
          </w:p>
        </w:tc>
        <w:tc>
          <w:tcPr>
            <w:tcW w:w="2206" w:type="dxa"/>
            <w:shd w:val="clear" w:color="auto" w:fill="D9D9D9" w:themeFill="background1" w:themeFillShade="D9"/>
          </w:tcPr>
          <w:p w14:paraId="77097347" w14:textId="77777777" w:rsidR="00C348F8" w:rsidRPr="007D2AD3" w:rsidRDefault="00C348F8" w:rsidP="009D3602">
            <w:pPr>
              <w:spacing w:before="60" w:after="60"/>
              <w:jc w:val="center"/>
              <w:rPr>
                <w:b/>
              </w:rPr>
            </w:pPr>
            <w:r w:rsidRPr="007D2AD3">
              <w:rPr>
                <w:b/>
              </w:rPr>
              <w:t>Date</w:t>
            </w:r>
          </w:p>
        </w:tc>
      </w:tr>
      <w:tr w:rsidR="00632722" w:rsidRPr="007D2AD3" w14:paraId="7AD7477E" w14:textId="77777777" w:rsidTr="00C348F8">
        <w:tc>
          <w:tcPr>
            <w:tcW w:w="2785" w:type="dxa"/>
          </w:tcPr>
          <w:p w14:paraId="3136B701" w14:textId="77777777" w:rsidR="00632722" w:rsidRPr="007D2AD3" w:rsidRDefault="00632722" w:rsidP="00632722">
            <w:pPr>
              <w:spacing w:before="60" w:after="60"/>
              <w:rPr>
                <w:b/>
                <w:bCs/>
                <w:i/>
                <w:iCs/>
              </w:rPr>
            </w:pPr>
            <w:r w:rsidRPr="007D2AD3">
              <w:rPr>
                <w:b/>
                <w:bCs/>
                <w:i/>
                <w:iCs/>
              </w:rPr>
              <w:t>Auteur modèle harmonisé</w:t>
            </w:r>
          </w:p>
        </w:tc>
        <w:tc>
          <w:tcPr>
            <w:tcW w:w="5007" w:type="dxa"/>
          </w:tcPr>
          <w:p w14:paraId="1B177270" w14:textId="1EA752E1" w:rsidR="00632722" w:rsidRPr="007D2AD3" w:rsidRDefault="00632722" w:rsidP="00632722">
            <w:pPr>
              <w:spacing w:before="60" w:after="60"/>
            </w:pPr>
            <w:r w:rsidRPr="00CC2086">
              <w:t>MON CER développés par le Réseau CATALIS</w:t>
            </w:r>
          </w:p>
        </w:tc>
        <w:tc>
          <w:tcPr>
            <w:tcW w:w="2206" w:type="dxa"/>
          </w:tcPr>
          <w:p w14:paraId="6D8DFAB1" w14:textId="2969465D" w:rsidR="00632722" w:rsidRPr="007D2AD3" w:rsidRDefault="00632722" w:rsidP="00632722">
            <w:pPr>
              <w:spacing w:before="60" w:after="60"/>
              <w:jc w:val="center"/>
            </w:pPr>
            <w:r w:rsidRPr="00CC2086">
              <w:t>2023-05-01</w:t>
            </w:r>
          </w:p>
        </w:tc>
      </w:tr>
      <w:tr w:rsidR="008B2882" w:rsidRPr="007D2AD3" w14:paraId="0506E826" w14:textId="77777777" w:rsidTr="00C348F8">
        <w:tc>
          <w:tcPr>
            <w:tcW w:w="2785" w:type="dxa"/>
          </w:tcPr>
          <w:p w14:paraId="2FDE9BE5" w14:textId="77777777" w:rsidR="008B2882" w:rsidRPr="007D2AD3" w:rsidRDefault="008B2882" w:rsidP="008B2882">
            <w:pPr>
              <w:spacing w:before="60" w:after="60"/>
              <w:rPr>
                <w:b/>
                <w:i/>
              </w:rPr>
            </w:pPr>
            <w:r w:rsidRPr="007D2AD3">
              <w:rPr>
                <w:b/>
                <w:i/>
              </w:rPr>
              <w:t>Approuvé</w:t>
            </w:r>
          </w:p>
        </w:tc>
        <w:tc>
          <w:tcPr>
            <w:tcW w:w="5007" w:type="dxa"/>
          </w:tcPr>
          <w:p w14:paraId="0A0F620F" w14:textId="3F2EFED9" w:rsidR="008B2882" w:rsidRPr="007D2AD3" w:rsidRDefault="008B2882" w:rsidP="008B2882">
            <w:pPr>
              <w:spacing w:before="60" w:after="60"/>
            </w:pPr>
            <w:r w:rsidRPr="00391F49">
              <w:rPr>
                <w:rFonts w:asciiTheme="minorHAnsi" w:hAnsiTheme="minorHAnsi" w:cstheme="minorHAnsi"/>
                <w:i/>
                <w:iCs/>
                <w:color w:val="A6A6A6" w:themeColor="background1" w:themeShade="A6"/>
              </w:rPr>
              <w:t>CER plénier</w:t>
            </w:r>
            <w:r w:rsidR="009C5B8D">
              <w:rPr>
                <w:rFonts w:asciiTheme="minorHAnsi" w:hAnsiTheme="minorHAnsi" w:cstheme="minorHAnsi"/>
                <w:i/>
                <w:iCs/>
                <w:color w:val="A6A6A6" w:themeColor="background1" w:themeShade="A6"/>
              </w:rPr>
              <w:t>,</w:t>
            </w:r>
            <w:r w:rsidRPr="00391F49">
              <w:rPr>
                <w:rFonts w:asciiTheme="minorHAnsi" w:hAnsiTheme="minorHAnsi" w:cstheme="minorHAnsi"/>
                <w:i/>
                <w:iCs/>
                <w:color w:val="A6A6A6" w:themeColor="background1" w:themeShade="A6"/>
              </w:rPr>
              <w:t xml:space="preserve"> XXX</w:t>
            </w:r>
          </w:p>
        </w:tc>
        <w:tc>
          <w:tcPr>
            <w:tcW w:w="2206" w:type="dxa"/>
          </w:tcPr>
          <w:p w14:paraId="0B317FF7" w14:textId="09E4A2EC" w:rsidR="008B2882" w:rsidRPr="007D2AD3" w:rsidRDefault="008B2882" w:rsidP="008B2882">
            <w:pPr>
              <w:spacing w:before="60" w:after="60"/>
              <w:jc w:val="center"/>
            </w:pPr>
            <w:r w:rsidRPr="00FA13BC">
              <w:t>YYYY-MM-DD</w:t>
            </w:r>
          </w:p>
        </w:tc>
      </w:tr>
      <w:tr w:rsidR="008B2882" w:rsidRPr="007D2AD3" w14:paraId="26B72179" w14:textId="77777777" w:rsidTr="00C348F8">
        <w:tc>
          <w:tcPr>
            <w:tcW w:w="2785" w:type="dxa"/>
          </w:tcPr>
          <w:p w14:paraId="75049CDE" w14:textId="755ECE12" w:rsidR="008B2882" w:rsidRPr="007D2AD3" w:rsidRDefault="008B2882" w:rsidP="008B2882">
            <w:pPr>
              <w:spacing w:before="60" w:after="60"/>
              <w:rPr>
                <w:b/>
                <w:bCs/>
                <w:i/>
                <w:iCs/>
              </w:rPr>
            </w:pPr>
            <w:r w:rsidRPr="00A92DA3">
              <w:rPr>
                <w:b/>
                <w:bCs/>
                <w:i/>
                <w:iCs/>
              </w:rPr>
              <w:t>[Approuvé] ou [Prend acte]</w:t>
            </w:r>
          </w:p>
        </w:tc>
        <w:tc>
          <w:tcPr>
            <w:tcW w:w="5007" w:type="dxa"/>
          </w:tcPr>
          <w:p w14:paraId="4D02F126" w14:textId="08F3A413" w:rsidR="008B2882" w:rsidRPr="007D2AD3" w:rsidRDefault="008B2882" w:rsidP="008B2882">
            <w:pPr>
              <w:spacing w:before="60" w:after="60"/>
            </w:pPr>
            <w:r w:rsidRPr="00391F49">
              <w:rPr>
                <w:rFonts w:asciiTheme="minorHAnsi" w:hAnsiTheme="minorHAnsi" w:cstheme="minorHAnsi"/>
                <w:i/>
                <w:iCs/>
                <w:color w:val="A6A6A6" w:themeColor="background1" w:themeShade="A6"/>
              </w:rPr>
              <w:t>CA</w:t>
            </w:r>
            <w:r w:rsidR="009C5B8D">
              <w:rPr>
                <w:rFonts w:asciiTheme="minorHAnsi" w:hAnsiTheme="minorHAnsi" w:cstheme="minorHAnsi"/>
                <w:i/>
                <w:iCs/>
                <w:color w:val="A6A6A6" w:themeColor="background1" w:themeShade="A6"/>
              </w:rPr>
              <w:t>,</w:t>
            </w:r>
            <w:r w:rsidRPr="00391F49">
              <w:rPr>
                <w:rFonts w:asciiTheme="minorHAnsi" w:hAnsiTheme="minorHAnsi" w:cstheme="minorHAnsi"/>
                <w:i/>
                <w:iCs/>
                <w:color w:val="A6A6A6" w:themeColor="background1" w:themeShade="A6"/>
              </w:rPr>
              <w:t xml:space="preserve"> XXX</w:t>
            </w:r>
          </w:p>
        </w:tc>
        <w:tc>
          <w:tcPr>
            <w:tcW w:w="2206" w:type="dxa"/>
          </w:tcPr>
          <w:p w14:paraId="04EA2C6E" w14:textId="479C488A" w:rsidR="008B2882" w:rsidRPr="007D2AD3" w:rsidRDefault="008B2882" w:rsidP="008B2882">
            <w:pPr>
              <w:spacing w:before="60" w:after="60"/>
              <w:jc w:val="center"/>
            </w:pPr>
            <w:r w:rsidRPr="00FA13BC">
              <w:t>YYYY-MM-DD</w:t>
            </w:r>
          </w:p>
        </w:tc>
      </w:tr>
    </w:tbl>
    <w:p w14:paraId="77DBC18A" w14:textId="77777777" w:rsidR="002E18ED" w:rsidRPr="007D2AD3" w:rsidRDefault="002E18ED" w:rsidP="00133159">
      <w:pPr>
        <w:rPr>
          <w:b/>
        </w:rPr>
      </w:pPr>
    </w:p>
    <w:p w14:paraId="449CB78E" w14:textId="708FD620" w:rsidR="0030269A" w:rsidRPr="007D2AD3" w:rsidRDefault="0030269A" w:rsidP="00133159">
      <w:pPr>
        <w:rPr>
          <w:b/>
        </w:rPr>
      </w:pPr>
      <w:r w:rsidRPr="007D2AD3">
        <w:rPr>
          <w:b/>
        </w:rPr>
        <w:t xml:space="preserve">Table </w:t>
      </w:r>
      <w:r w:rsidR="00ED30D3" w:rsidRPr="007D2AD3">
        <w:rPr>
          <w:b/>
        </w:rPr>
        <w:t>des matières</w:t>
      </w:r>
    </w:p>
    <w:p w14:paraId="4606076E" w14:textId="111BA771" w:rsidR="00B4301B" w:rsidRDefault="0030269A">
      <w:pPr>
        <w:pStyle w:val="TM1"/>
        <w:rPr>
          <w:kern w:val="2"/>
          <w:szCs w:val="22"/>
          <w:lang w:eastAsia="fr-CA"/>
          <w14:ligatures w14:val="standardContextual"/>
        </w:rPr>
      </w:pPr>
      <w:r w:rsidRPr="007D2AD3">
        <w:rPr>
          <w:noProof w:val="0"/>
          <w:sz w:val="24"/>
        </w:rPr>
        <w:fldChar w:fldCharType="begin"/>
      </w:r>
      <w:r w:rsidRPr="007D2AD3">
        <w:rPr>
          <w:noProof w:val="0"/>
        </w:rPr>
        <w:instrText xml:space="preserve"> TOC \o "1-2" \u </w:instrText>
      </w:r>
      <w:r w:rsidRPr="007D2AD3">
        <w:rPr>
          <w:noProof w:val="0"/>
          <w:sz w:val="24"/>
        </w:rPr>
        <w:fldChar w:fldCharType="separate"/>
      </w:r>
      <w:r w:rsidR="00B4301B">
        <w:t>1</w:t>
      </w:r>
      <w:r w:rsidR="00B4301B">
        <w:rPr>
          <w:kern w:val="2"/>
          <w:szCs w:val="22"/>
          <w:lang w:eastAsia="fr-CA"/>
          <w14:ligatures w14:val="standardContextual"/>
        </w:rPr>
        <w:tab/>
      </w:r>
      <w:r w:rsidR="00B4301B">
        <w:t>Objectif</w:t>
      </w:r>
      <w:r w:rsidR="00B4301B">
        <w:tab/>
      </w:r>
      <w:r w:rsidR="00B4301B">
        <w:fldChar w:fldCharType="begin"/>
      </w:r>
      <w:r w:rsidR="00B4301B">
        <w:instrText xml:space="preserve"> PAGEREF _Toc149123492 \h </w:instrText>
      </w:r>
      <w:r w:rsidR="00B4301B">
        <w:fldChar w:fldCharType="separate"/>
      </w:r>
      <w:r w:rsidR="00B4301B">
        <w:t>1</w:t>
      </w:r>
      <w:r w:rsidR="00B4301B">
        <w:fldChar w:fldCharType="end"/>
      </w:r>
    </w:p>
    <w:p w14:paraId="7057CF0A" w14:textId="0F72911F" w:rsidR="00B4301B" w:rsidRDefault="00B4301B">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_Toc149123493 \h </w:instrText>
      </w:r>
      <w:r>
        <w:fldChar w:fldCharType="separate"/>
      </w:r>
      <w:r>
        <w:t>1</w:t>
      </w:r>
      <w:r>
        <w:fldChar w:fldCharType="end"/>
      </w:r>
    </w:p>
    <w:p w14:paraId="73AEA8CB" w14:textId="499354EA" w:rsidR="00B4301B" w:rsidRDefault="00B4301B">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_Toc149123494 \h </w:instrText>
      </w:r>
      <w:r>
        <w:fldChar w:fldCharType="separate"/>
      </w:r>
      <w:r>
        <w:t>2</w:t>
      </w:r>
      <w:r>
        <w:fldChar w:fldCharType="end"/>
      </w:r>
    </w:p>
    <w:p w14:paraId="0E8E5ED2" w14:textId="592F9967" w:rsidR="00B4301B" w:rsidRDefault="00B4301B">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_Toc149123495 \h </w:instrText>
      </w:r>
      <w:r>
        <w:fldChar w:fldCharType="separate"/>
      </w:r>
      <w:r>
        <w:t>2</w:t>
      </w:r>
      <w:r>
        <w:fldChar w:fldCharType="end"/>
      </w:r>
    </w:p>
    <w:p w14:paraId="06D8677F" w14:textId="20924772" w:rsidR="00B4301B" w:rsidRDefault="00B4301B">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_Toc149123496 \h </w:instrText>
      </w:r>
      <w:r>
        <w:fldChar w:fldCharType="separate"/>
      </w:r>
      <w:r>
        <w:t>2</w:t>
      </w:r>
      <w:r>
        <w:fldChar w:fldCharType="end"/>
      </w:r>
    </w:p>
    <w:p w14:paraId="3707385F" w14:textId="2F920385" w:rsidR="00B4301B" w:rsidRDefault="00B4301B">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_Toc149123497 \h </w:instrText>
      </w:r>
      <w:r>
        <w:fldChar w:fldCharType="separate"/>
      </w:r>
      <w:r>
        <w:t>2</w:t>
      </w:r>
      <w:r>
        <w:fldChar w:fldCharType="end"/>
      </w:r>
    </w:p>
    <w:p w14:paraId="2B0A680F" w14:textId="0938E73F" w:rsidR="00B4301B" w:rsidRDefault="00B4301B">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_Toc149123498 \h </w:instrText>
      </w:r>
      <w:r>
        <w:fldChar w:fldCharType="separate"/>
      </w:r>
      <w:r>
        <w:t>3</w:t>
      </w:r>
      <w:r>
        <w:fldChar w:fldCharType="end"/>
      </w:r>
    </w:p>
    <w:p w14:paraId="4946CF3B" w14:textId="4D42C4B2" w:rsidR="00B4301B" w:rsidRDefault="00B4301B">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_Toc149123499 \h </w:instrText>
      </w:r>
      <w:r>
        <w:fldChar w:fldCharType="separate"/>
      </w:r>
      <w:r>
        <w:t>3</w:t>
      </w:r>
      <w:r>
        <w:fldChar w:fldCharType="end"/>
      </w:r>
    </w:p>
    <w:p w14:paraId="564964C4" w14:textId="3C88E4B9" w:rsidR="002B5BA5" w:rsidRPr="007D2AD3" w:rsidRDefault="0030269A" w:rsidP="00133159">
      <w:pPr>
        <w:rPr>
          <w:lang w:val="en-US"/>
        </w:rPr>
      </w:pPr>
      <w:r w:rsidRPr="007D2AD3">
        <w:rPr>
          <w:rFonts w:eastAsiaTheme="minorEastAsia" w:cstheme="minorHAnsi"/>
          <w:lang w:eastAsia="fr-FR"/>
        </w:rPr>
        <w:fldChar w:fldCharType="end"/>
      </w:r>
    </w:p>
    <w:p w14:paraId="58AB8D44" w14:textId="15E64D94" w:rsidR="00B66BD6" w:rsidRPr="007D2AD3" w:rsidRDefault="00ED30D3" w:rsidP="00133159">
      <w:pPr>
        <w:pStyle w:val="Titre1"/>
        <w:widowControl/>
      </w:pPr>
      <w:bookmarkStart w:id="0" w:name="_Toc149123492"/>
      <w:r w:rsidRPr="007D2AD3">
        <w:t>Objectif</w:t>
      </w:r>
      <w:bookmarkEnd w:id="0"/>
    </w:p>
    <w:p w14:paraId="48575048" w14:textId="367595A6" w:rsidR="002E18ED" w:rsidRPr="007D2AD3" w:rsidRDefault="000C1A55" w:rsidP="00133159">
      <w:r w:rsidRPr="000C1A55">
        <w:t>Ce mode opératoire normalisé (MON) traite des conflits d’intérêts (CI) pouvant survenir dans le cadre de la relation entre l’établissement et le CER.</w:t>
      </w:r>
    </w:p>
    <w:p w14:paraId="58AFA72E" w14:textId="0660F0E4" w:rsidR="00756C58" w:rsidRPr="007D2AD3" w:rsidRDefault="00ED30D3" w:rsidP="00133159">
      <w:pPr>
        <w:pStyle w:val="Titre1"/>
        <w:widowControl/>
      </w:pPr>
      <w:bookmarkStart w:id="1" w:name="_Toc149123493"/>
      <w:r w:rsidRPr="007D2AD3">
        <w:t>Portée</w:t>
      </w:r>
      <w:bookmarkEnd w:id="1"/>
    </w:p>
    <w:p w14:paraId="65AD856C" w14:textId="0C2F96FE" w:rsidR="002E18ED" w:rsidRPr="007D2AD3" w:rsidRDefault="00AB7AAB" w:rsidP="00845BAF">
      <w:pPr>
        <w:spacing w:before="0" w:after="0"/>
        <w:jc w:val="left"/>
      </w:pPr>
      <w:r>
        <w:t>C</w:t>
      </w:r>
      <w:r w:rsidR="000C1A55" w:rsidRPr="000C1A55">
        <w:t xml:space="preserve">e MON concerne les CER qui évaluent des projets de recherche menés </w:t>
      </w:r>
      <w:r w:rsidR="00845BAF">
        <w:t xml:space="preserve">auprès de participants </w:t>
      </w:r>
      <w:r w:rsidR="000C1A55" w:rsidRPr="000C1A55">
        <w:t>humains conformément aux lois, règlements et lignes directrices applicables.</w:t>
      </w:r>
    </w:p>
    <w:p w14:paraId="4CE467C9" w14:textId="5B461F66" w:rsidR="00756C58" w:rsidRPr="007D2AD3" w:rsidRDefault="002E18ED" w:rsidP="00D36975">
      <w:pPr>
        <w:pStyle w:val="Titre1"/>
        <w:widowControl/>
        <w:tabs>
          <w:tab w:val="clear" w:pos="1134"/>
          <w:tab w:val="left" w:pos="1123"/>
        </w:tabs>
        <w:ind w:left="1123" w:hanging="1123"/>
      </w:pPr>
      <w:bookmarkStart w:id="2" w:name="_Toc149123494"/>
      <w:r w:rsidRPr="007D2AD3">
        <w:lastRenderedPageBreak/>
        <w:t>R</w:t>
      </w:r>
      <w:r w:rsidR="00756C58" w:rsidRPr="007D2AD3">
        <w:t>espons</w:t>
      </w:r>
      <w:r w:rsidR="00ED30D3" w:rsidRPr="007D2AD3">
        <w:t>a</w:t>
      </w:r>
      <w:r w:rsidR="00756C58" w:rsidRPr="007D2AD3">
        <w:t>bilit</w:t>
      </w:r>
      <w:r w:rsidR="00ED30D3" w:rsidRPr="007D2AD3">
        <w:t>é</w:t>
      </w:r>
      <w:r w:rsidR="00756C58" w:rsidRPr="007D2AD3">
        <w:t>s</w:t>
      </w:r>
      <w:bookmarkEnd w:id="2"/>
    </w:p>
    <w:p w14:paraId="23D28877" w14:textId="77777777" w:rsidR="00484BEA" w:rsidRPr="00D36975" w:rsidRDefault="00845BAF" w:rsidP="00484BEA">
      <w:r w:rsidRPr="00D36975">
        <w:t>Tous les membres du CER et tout le personnel désigné du CER sont responsables de s’assurer que les exigences de ce MON sont satisfaites</w:t>
      </w:r>
      <w:r w:rsidR="000C1A55" w:rsidRPr="000C1A55">
        <w:t>.</w:t>
      </w:r>
      <w:r w:rsidR="00484BEA" w:rsidRPr="00D36975">
        <w:t xml:space="preserve"> </w:t>
      </w:r>
    </w:p>
    <w:p w14:paraId="716E64E8" w14:textId="05B72AF3" w:rsidR="002E18ED" w:rsidRPr="007D2AD3" w:rsidRDefault="002E18ED" w:rsidP="00845BAF">
      <w:pPr>
        <w:spacing w:before="0" w:after="0"/>
        <w:jc w:val="left"/>
      </w:pPr>
    </w:p>
    <w:p w14:paraId="3321FEC9" w14:textId="34E5AB84" w:rsidR="00756C58" w:rsidRPr="007D2AD3" w:rsidRDefault="002E18ED" w:rsidP="00133159">
      <w:pPr>
        <w:pStyle w:val="Titre1"/>
        <w:widowControl/>
      </w:pPr>
      <w:bookmarkStart w:id="3" w:name="_Toc149123495"/>
      <w:r w:rsidRPr="007D2AD3">
        <w:t>D</w:t>
      </w:r>
      <w:r w:rsidR="00ED30D3" w:rsidRPr="007D2AD3">
        <w:t>é</w:t>
      </w:r>
      <w:r w:rsidR="00756C58" w:rsidRPr="007D2AD3">
        <w:t>finitions</w:t>
      </w:r>
      <w:bookmarkEnd w:id="3"/>
    </w:p>
    <w:p w14:paraId="3A382B14" w14:textId="1FE031D7" w:rsidR="002E18ED" w:rsidRPr="007D2AD3" w:rsidRDefault="000C1A55" w:rsidP="00133159">
      <w:r w:rsidRPr="000C1A55">
        <w:t>Voir le glossaire.</w:t>
      </w:r>
    </w:p>
    <w:p w14:paraId="17D971BD" w14:textId="6FBA09B6" w:rsidR="00756C58" w:rsidRPr="007D2AD3" w:rsidRDefault="00B4301B" w:rsidP="00133159">
      <w:pPr>
        <w:pStyle w:val="Titre1"/>
        <w:widowControl/>
      </w:pPr>
      <w:bookmarkStart w:id="4" w:name="_Toc149123496"/>
      <w:r>
        <w:t>Procédures</w:t>
      </w:r>
      <w:bookmarkEnd w:id="4"/>
    </w:p>
    <w:p w14:paraId="165470D0" w14:textId="77777777" w:rsidR="003F7DA7" w:rsidRDefault="000C1A55" w:rsidP="003F7DA7">
      <w:r>
        <w:t xml:space="preserve">Lorsqu’un </w:t>
      </w:r>
      <w:r w:rsidR="00AB7AAB">
        <w:t>CI</w:t>
      </w:r>
      <w:r>
        <w:t xml:space="preserve"> survient entre l’établissement et le CER, les parties concernées sont appelées à agir de bonne foi en vue de gérer la situation avec respect, collaboration et transparence. Le processus mis en place pour gérer le </w:t>
      </w:r>
      <w:r w:rsidR="00AB7AAB">
        <w:t>CI</w:t>
      </w:r>
      <w:r>
        <w:t xml:space="preserve"> doit être conforme aux politiques de l’établissement</w:t>
      </w:r>
      <w:r>
        <w:rPr>
          <w:rStyle w:val="Appelnotedebasdep"/>
        </w:rPr>
        <w:footnoteReference w:id="1"/>
      </w:r>
      <w:r>
        <w:t xml:space="preserve"> et à la réglementation applicable.</w:t>
      </w:r>
    </w:p>
    <w:p w14:paraId="344E8988" w14:textId="06697259" w:rsidR="003F7DA7" w:rsidRPr="00087753" w:rsidRDefault="003F7DA7" w:rsidP="003F7DA7">
      <w:r w:rsidRPr="00087753">
        <w:t xml:space="preserve"> Les politiques organisationnelles doivent porter sur les rôles, les responsabilités et les processus visant à identifier, éliminer, réduire au minimum ou à gérer les CI susceptibles d’influencer la recherche, y compris leur divulgation aux CER</w:t>
      </w:r>
      <w:r w:rsidRPr="00087753">
        <w:rPr>
          <w:rStyle w:val="Appelnotedebasdep"/>
        </w:rPr>
        <w:footnoteReference w:id="2"/>
      </w:r>
      <w:r w:rsidRPr="00087753">
        <w:t xml:space="preserve">. La gestion des CI comprend, sans toutefois s’y limiter, la prévention, l’évaluation, la délégation et l’application de solutions adéquates déterminées par l’établissement. </w:t>
      </w:r>
    </w:p>
    <w:p w14:paraId="28E7407E" w14:textId="4C203C45" w:rsidR="003F7DA7" w:rsidRPr="00087753" w:rsidRDefault="003F7DA7" w:rsidP="003F7DA7">
      <w:pPr>
        <w:spacing w:before="0" w:after="0"/>
        <w:rPr>
          <w:rFonts w:eastAsia="Times New Roman" w:cstheme="minorHAnsi"/>
          <w:lang w:eastAsia="fr-CA"/>
        </w:rPr>
      </w:pPr>
      <w:r w:rsidRPr="00087753">
        <w:t>Le CER doit être juste et impartial, exempt de toute pression exercée par le promoteur, l’établissement et les chercheurs dont les projets de recherche lui sont présentés à des fins d’évaluation. Afin de maintenir la confiance du public et de préserver l’intégrité de l’évaluation de l’éthique, le CER doit agir de manière indépendante, et éviter ou gérer les CI réels ou apparents.</w:t>
      </w:r>
      <w:r w:rsidRPr="00087753">
        <w:rPr>
          <w:rStyle w:val="Titre1Car"/>
        </w:rPr>
        <w:t xml:space="preserve"> </w:t>
      </w:r>
      <w:r w:rsidRPr="00087753">
        <w:rPr>
          <w:rFonts w:eastAsia="Times New Roman" w:cstheme="minorHAnsi"/>
          <w:lang w:eastAsia="fr-CA"/>
        </w:rPr>
        <w:t>Le CER constitue une entité autonome au sein de</w:t>
      </w:r>
      <w:r w:rsidR="00E123B9" w:rsidRPr="00087753">
        <w:rPr>
          <w:rFonts w:eastAsia="Times New Roman" w:cstheme="minorHAnsi"/>
          <w:lang w:eastAsia="fr-CA"/>
        </w:rPr>
        <w:t xml:space="preserve"> </w:t>
      </w:r>
      <w:r w:rsidRPr="00087753">
        <w:rPr>
          <w:rFonts w:eastAsia="Times New Roman" w:cstheme="minorHAnsi"/>
          <w:lang w:eastAsia="fr-CA"/>
        </w:rPr>
        <w:t>l’établissement. Ainsi, il doit bénéficier d’une totale indépendance décisionnelle à propos des projets qu’il évalue, laquelle est nécessaire à l’exécution de son mandat. L’établissement s’assure que le CER est protégé des influences indues</w:t>
      </w:r>
      <w:r w:rsidRPr="00087753">
        <w:rPr>
          <w:rStyle w:val="Appelnotedebasdep"/>
          <w:rFonts w:cstheme="minorHAnsi"/>
        </w:rPr>
        <w:footnoteReference w:id="3"/>
      </w:r>
      <w:r w:rsidRPr="00087753">
        <w:rPr>
          <w:rFonts w:cstheme="minorHAnsi"/>
        </w:rPr>
        <w:t xml:space="preserve">. </w:t>
      </w:r>
    </w:p>
    <w:p w14:paraId="4AA1DF97" w14:textId="77777777" w:rsidR="003F7DA7" w:rsidRDefault="003F7DA7" w:rsidP="003F7DA7">
      <w:r w:rsidRPr="00087753">
        <w:t>La règle qui devrait orienter les décisions au sujet de l’existence des CI consiste à établir si un observateur indépendant peut raisonnablement remettre en question les actions ou les décisions d’un CER en fonction de facteurs autres que les droits, le bien-être et la sécurité des participants.</w:t>
      </w:r>
    </w:p>
    <w:p w14:paraId="0BED207A" w14:textId="3F0B7813" w:rsidR="002E18ED" w:rsidRPr="007D2AD3" w:rsidRDefault="002E18ED" w:rsidP="000C1A55"/>
    <w:p w14:paraId="2303A05E" w14:textId="23266C7A" w:rsidR="00756C58" w:rsidRPr="007D2AD3" w:rsidRDefault="002E18ED" w:rsidP="00133159">
      <w:pPr>
        <w:pStyle w:val="Titre1"/>
        <w:widowControl/>
      </w:pPr>
      <w:bookmarkStart w:id="5" w:name="_Toc149123497"/>
      <w:r w:rsidRPr="007D2AD3">
        <w:t>R</w:t>
      </w:r>
      <w:r w:rsidR="00ED30D3" w:rsidRPr="007D2AD3">
        <w:t>é</w:t>
      </w:r>
      <w:r w:rsidR="00756C58" w:rsidRPr="007D2AD3">
        <w:t>f</w:t>
      </w:r>
      <w:r w:rsidR="00ED30D3" w:rsidRPr="007D2AD3">
        <w:t>é</w:t>
      </w:r>
      <w:r w:rsidR="00756C58" w:rsidRPr="007D2AD3">
        <w:t>rences</w:t>
      </w:r>
      <w:bookmarkEnd w:id="5"/>
    </w:p>
    <w:p w14:paraId="5D2C0AE4" w14:textId="7E4B0C9F" w:rsidR="00756C58" w:rsidRPr="007D2AD3" w:rsidRDefault="000C1A55" w:rsidP="00133159">
      <w:r w:rsidRPr="000C1A55">
        <w:t>Voir les notes en bas de page.</w:t>
      </w:r>
    </w:p>
    <w:p w14:paraId="7DAAB75F" w14:textId="067E0721" w:rsidR="00756C58" w:rsidRPr="007D2AD3" w:rsidRDefault="00347179" w:rsidP="00602FB6">
      <w:pPr>
        <w:pStyle w:val="Titre1"/>
        <w:pageBreakBefore/>
        <w:widowControl/>
      </w:pPr>
      <w:bookmarkStart w:id="6" w:name="_Toc149123498"/>
      <w:r w:rsidRPr="007D2AD3">
        <w:lastRenderedPageBreak/>
        <w:t xml:space="preserve">Historique des </w:t>
      </w:r>
      <w:r w:rsidR="000C1A55">
        <w:t>r</w:t>
      </w:r>
      <w:r w:rsidRPr="007D2AD3">
        <w:t>é</w:t>
      </w:r>
      <w:r w:rsidR="00756C58" w:rsidRPr="007D2AD3">
        <w:t>vision</w:t>
      </w:r>
      <w:r w:rsidRPr="007D2AD3">
        <w:t>s</w:t>
      </w:r>
      <w:bookmarkEnd w:id="6"/>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7D2AD3" w14:paraId="48F7327B" w14:textId="77777777" w:rsidTr="000C54EE">
        <w:trPr>
          <w:tblHeader/>
        </w:trPr>
        <w:tc>
          <w:tcPr>
            <w:tcW w:w="2439" w:type="dxa"/>
            <w:tcBorders>
              <w:right w:val="single" w:sz="4" w:space="0" w:color="auto"/>
            </w:tcBorders>
            <w:shd w:val="clear" w:color="auto" w:fill="auto"/>
            <w:vAlign w:val="center"/>
          </w:tcPr>
          <w:p w14:paraId="1949C2F5" w14:textId="02C999CD" w:rsidR="00756C58" w:rsidRPr="007D2AD3" w:rsidRDefault="00347179" w:rsidP="00133159">
            <w:pPr>
              <w:spacing w:before="0" w:after="0"/>
              <w:jc w:val="center"/>
              <w:rPr>
                <w:rFonts w:eastAsia="Calibri"/>
                <w:b/>
              </w:rPr>
            </w:pPr>
            <w:r w:rsidRPr="007D2AD3">
              <w:rPr>
                <w:rFonts w:eastAsia="Calibri"/>
                <w:b/>
              </w:rPr>
              <w:t xml:space="preserve">Code </w:t>
            </w:r>
            <w:r w:rsidR="00474636" w:rsidRPr="007D2AD3">
              <w:rPr>
                <w:rFonts w:eastAsia="Calibri"/>
                <w:b/>
              </w:rPr>
              <w:t xml:space="preserve">du </w:t>
            </w:r>
            <w:r w:rsidRPr="007D2AD3">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7D2AD3" w:rsidRDefault="00474636" w:rsidP="00133159">
            <w:pPr>
              <w:spacing w:before="0" w:after="0"/>
              <w:jc w:val="center"/>
              <w:rPr>
                <w:rFonts w:eastAsia="Calibri"/>
                <w:b/>
              </w:rPr>
            </w:pPr>
            <w:r w:rsidRPr="007D2AD3">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7D2AD3" w:rsidRDefault="00347179" w:rsidP="00133159">
            <w:pPr>
              <w:spacing w:before="0" w:after="0"/>
              <w:jc w:val="left"/>
              <w:rPr>
                <w:rFonts w:eastAsia="Calibri"/>
                <w:b/>
              </w:rPr>
            </w:pPr>
            <w:r w:rsidRPr="007D2AD3">
              <w:rPr>
                <w:rFonts w:eastAsia="Calibri"/>
                <w:b/>
              </w:rPr>
              <w:t xml:space="preserve">Résumé des </w:t>
            </w:r>
            <w:r w:rsidR="00474636" w:rsidRPr="007D2AD3">
              <w:rPr>
                <w:rFonts w:eastAsia="Calibri"/>
                <w:b/>
              </w:rPr>
              <w:t>modifications</w:t>
            </w:r>
          </w:p>
        </w:tc>
      </w:tr>
      <w:tr w:rsidR="000C1A55" w:rsidRPr="007D2AD3" w14:paraId="4D71CB09" w14:textId="77777777" w:rsidTr="00CD25AE">
        <w:tc>
          <w:tcPr>
            <w:tcW w:w="2439" w:type="dxa"/>
            <w:tcBorders>
              <w:right w:val="single" w:sz="4" w:space="0" w:color="auto"/>
            </w:tcBorders>
            <w:shd w:val="clear" w:color="auto" w:fill="auto"/>
          </w:tcPr>
          <w:p w14:paraId="4E586DA7" w14:textId="08EEEA53" w:rsidR="000C1A55" w:rsidRPr="007D2AD3" w:rsidRDefault="000C1A55" w:rsidP="000C1A55">
            <w:pPr>
              <w:spacing w:before="0" w:after="0"/>
              <w:jc w:val="left"/>
              <w:rPr>
                <w:rFonts w:eastAsia="Calibri" w:cs="Arial"/>
              </w:rPr>
            </w:pPr>
            <w:r w:rsidRPr="00205E88">
              <w:t>MON-CER 105C-001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2C34D320" w:rsidR="000C1A55" w:rsidRPr="007D2AD3" w:rsidRDefault="000C1A55" w:rsidP="000C1A55">
            <w:pPr>
              <w:spacing w:before="0" w:after="0"/>
              <w:jc w:val="center"/>
              <w:rPr>
                <w:rFonts w:eastAsia="Calibri"/>
              </w:rPr>
            </w:pPr>
            <w:r w:rsidRPr="00205E88">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2F5D98E4" w:rsidR="000C1A55" w:rsidRPr="007D2AD3" w:rsidRDefault="000C1A55" w:rsidP="000C1A55">
            <w:pPr>
              <w:spacing w:before="0" w:after="0"/>
              <w:jc w:val="left"/>
              <w:rPr>
                <w:rFonts w:eastAsia="Calibri"/>
              </w:rPr>
            </w:pPr>
            <w:r w:rsidRPr="00205E88">
              <w:t>Version originale</w:t>
            </w:r>
          </w:p>
        </w:tc>
      </w:tr>
      <w:tr w:rsidR="000C1A55" w:rsidRPr="007D2AD3" w14:paraId="3C8E0466" w14:textId="77777777" w:rsidTr="00CD25AE">
        <w:tc>
          <w:tcPr>
            <w:tcW w:w="2439" w:type="dxa"/>
            <w:tcBorders>
              <w:right w:val="single" w:sz="4" w:space="0" w:color="auto"/>
            </w:tcBorders>
            <w:shd w:val="clear" w:color="auto" w:fill="auto"/>
          </w:tcPr>
          <w:p w14:paraId="2187091D" w14:textId="34BF1FE6" w:rsidR="000C1A55" w:rsidRPr="007D2AD3" w:rsidRDefault="000C1A55" w:rsidP="000C1A55">
            <w:pPr>
              <w:spacing w:before="0" w:after="0"/>
              <w:jc w:val="left"/>
              <w:rPr>
                <w:rFonts w:eastAsia="Calibri"/>
              </w:rPr>
            </w:pPr>
            <w:r w:rsidRPr="00205E88">
              <w:t>MON-CER 105C-002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23377AF5" w:rsidR="000C1A55" w:rsidRPr="007D2AD3" w:rsidRDefault="000C1A55" w:rsidP="000C1A55">
            <w:pPr>
              <w:spacing w:before="0" w:after="0"/>
              <w:jc w:val="center"/>
              <w:rPr>
                <w:rFonts w:eastAsia="Calibri"/>
              </w:rPr>
            </w:pPr>
            <w:r w:rsidRPr="00205E88">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E84D83" w14:textId="77777777" w:rsidR="000C1A55" w:rsidRDefault="000C1A55" w:rsidP="000C1A55">
            <w:pPr>
              <w:spacing w:before="0" w:after="0"/>
              <w:jc w:val="left"/>
            </w:pPr>
            <w:r>
              <w:t>Mise à jour en fonction de la réglementation en vigueur</w:t>
            </w:r>
          </w:p>
          <w:p w14:paraId="36DC4D4B" w14:textId="28F26ED0" w:rsidR="000C1A55" w:rsidRPr="007D2AD3" w:rsidRDefault="000C1A55" w:rsidP="000C1A55">
            <w:pPr>
              <w:spacing w:before="0" w:after="0"/>
              <w:jc w:val="left"/>
              <w:rPr>
                <w:rFonts w:eastAsia="Calibri"/>
              </w:rPr>
            </w:pPr>
            <w:r>
              <w:t>Mise à jour des références</w:t>
            </w:r>
          </w:p>
        </w:tc>
      </w:tr>
      <w:tr w:rsidR="00756C58" w:rsidRPr="007D2AD3" w14:paraId="4C850D18" w14:textId="77777777" w:rsidTr="00474636">
        <w:tc>
          <w:tcPr>
            <w:tcW w:w="2439" w:type="dxa"/>
            <w:tcBorders>
              <w:right w:val="single" w:sz="4" w:space="0" w:color="auto"/>
            </w:tcBorders>
            <w:shd w:val="clear" w:color="auto" w:fill="auto"/>
            <w:vAlign w:val="center"/>
          </w:tcPr>
          <w:p w14:paraId="2F4B81D7" w14:textId="77777777" w:rsidR="00756C58" w:rsidRPr="007D2AD3"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7D2AD3"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7D2AD3" w:rsidRDefault="00756C58" w:rsidP="00133159">
            <w:pPr>
              <w:spacing w:before="0" w:after="0"/>
              <w:jc w:val="left"/>
              <w:rPr>
                <w:rFonts w:eastAsia="Calibri"/>
              </w:rPr>
            </w:pPr>
          </w:p>
        </w:tc>
      </w:tr>
    </w:tbl>
    <w:p w14:paraId="27543BF8" w14:textId="213C028B" w:rsidR="00756C58" w:rsidRPr="007D2AD3" w:rsidRDefault="002E18ED" w:rsidP="00133159">
      <w:pPr>
        <w:pStyle w:val="Titre1"/>
        <w:widowControl/>
      </w:pPr>
      <w:bookmarkStart w:id="7" w:name="_Toc149123499"/>
      <w:r w:rsidRPr="007D2AD3">
        <w:t>A</w:t>
      </w:r>
      <w:r w:rsidR="00347179" w:rsidRPr="007D2AD3">
        <w:t>nnexes</w:t>
      </w:r>
      <w:bookmarkEnd w:id="7"/>
    </w:p>
    <w:p w14:paraId="658D624C" w14:textId="77777777" w:rsidR="00756C58" w:rsidRPr="007D2AD3" w:rsidRDefault="00756C58" w:rsidP="00133159"/>
    <w:sectPr w:rsidR="00756C58" w:rsidRPr="007D2AD3"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AE64" w14:textId="77777777" w:rsidR="00F2781B" w:rsidRDefault="00F2781B" w:rsidP="0030269A">
      <w:pPr>
        <w:spacing w:before="0" w:after="0"/>
      </w:pPr>
      <w:r>
        <w:separator/>
      </w:r>
    </w:p>
  </w:endnote>
  <w:endnote w:type="continuationSeparator" w:id="0">
    <w:p w14:paraId="32308677" w14:textId="77777777" w:rsidR="00F2781B" w:rsidRDefault="00F2781B"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63BF" w14:textId="77777777" w:rsidR="00386E19" w:rsidRPr="00627E38" w:rsidRDefault="00386E19" w:rsidP="00386E19">
    <w:pPr>
      <w:pStyle w:val="Pieddepage"/>
      <w:pBdr>
        <w:bottom w:val="single" w:sz="4" w:space="1" w:color="auto"/>
      </w:pBdr>
      <w:rPr>
        <w:sz w:val="20"/>
        <w:szCs w:val="20"/>
      </w:rPr>
    </w:pPr>
  </w:p>
  <w:p w14:paraId="66544588" w14:textId="56E6E8CE" w:rsidR="00386E19" w:rsidRPr="003F0BFA" w:rsidRDefault="00844B24" w:rsidP="00386E19">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386E19" w:rsidRPr="00347179">
      <w:rPr>
        <w:rFonts w:cstheme="minorHAnsi"/>
        <w:sz w:val="20"/>
        <w:szCs w:val="20"/>
      </w:rPr>
      <w:tab/>
      <w:t xml:space="preserve">Page </w:t>
    </w:r>
    <w:r w:rsidR="00386E19" w:rsidRPr="00627E38">
      <w:rPr>
        <w:rFonts w:cstheme="minorHAnsi"/>
        <w:sz w:val="20"/>
        <w:szCs w:val="20"/>
        <w:lang w:val="fr-FR"/>
      </w:rPr>
      <w:fldChar w:fldCharType="begin"/>
    </w:r>
    <w:r w:rsidR="00386E19" w:rsidRPr="00347179">
      <w:rPr>
        <w:rFonts w:cstheme="minorHAnsi"/>
        <w:sz w:val="20"/>
        <w:szCs w:val="20"/>
      </w:rPr>
      <w:instrText xml:space="preserve"> PAGE </w:instrText>
    </w:r>
    <w:r w:rsidR="00386E19" w:rsidRPr="00627E38">
      <w:rPr>
        <w:rFonts w:cstheme="minorHAnsi"/>
        <w:sz w:val="20"/>
        <w:szCs w:val="20"/>
        <w:lang w:val="en-CA"/>
      </w:rPr>
      <w:fldChar w:fldCharType="separate"/>
    </w:r>
    <w:r w:rsidR="009608D9">
      <w:rPr>
        <w:rFonts w:cstheme="minorHAnsi"/>
        <w:noProof/>
        <w:sz w:val="20"/>
        <w:szCs w:val="20"/>
      </w:rPr>
      <w:t>1</w:t>
    </w:r>
    <w:r w:rsidR="00386E19" w:rsidRPr="00627E38">
      <w:rPr>
        <w:rFonts w:cstheme="minorHAnsi"/>
        <w:sz w:val="20"/>
        <w:szCs w:val="20"/>
        <w:lang w:val="fr-FR"/>
      </w:rPr>
      <w:fldChar w:fldCharType="end"/>
    </w:r>
    <w:r w:rsidR="00386E19" w:rsidRPr="00347179">
      <w:rPr>
        <w:rFonts w:cstheme="minorHAnsi"/>
        <w:sz w:val="20"/>
        <w:szCs w:val="20"/>
      </w:rPr>
      <w:t xml:space="preserve"> </w:t>
    </w:r>
    <w:r w:rsidR="00386E19">
      <w:rPr>
        <w:rFonts w:cstheme="minorHAnsi"/>
        <w:sz w:val="20"/>
        <w:szCs w:val="20"/>
      </w:rPr>
      <w:t xml:space="preserve">de </w:t>
    </w:r>
    <w:r w:rsidR="00386E19" w:rsidRPr="00627E38">
      <w:rPr>
        <w:rFonts w:cstheme="minorHAnsi"/>
        <w:sz w:val="20"/>
        <w:szCs w:val="20"/>
        <w:lang w:val="fr-FR"/>
      </w:rPr>
      <w:fldChar w:fldCharType="begin"/>
    </w:r>
    <w:r w:rsidR="00386E19" w:rsidRPr="00347179">
      <w:rPr>
        <w:rFonts w:cstheme="minorHAnsi"/>
        <w:sz w:val="20"/>
        <w:szCs w:val="20"/>
      </w:rPr>
      <w:instrText xml:space="preserve"> NUMPAGES </w:instrText>
    </w:r>
    <w:r w:rsidR="00386E19" w:rsidRPr="00627E38">
      <w:rPr>
        <w:rFonts w:cstheme="minorHAnsi"/>
        <w:sz w:val="20"/>
        <w:szCs w:val="20"/>
        <w:lang w:val="en-CA"/>
      </w:rPr>
      <w:fldChar w:fldCharType="separate"/>
    </w:r>
    <w:r w:rsidR="009608D9">
      <w:rPr>
        <w:rFonts w:cstheme="minorHAnsi"/>
        <w:noProof/>
        <w:sz w:val="20"/>
        <w:szCs w:val="20"/>
      </w:rPr>
      <w:t>3</w:t>
    </w:r>
    <w:r w:rsidR="00386E19"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3FD9" w14:textId="77777777" w:rsidR="00F2781B" w:rsidRDefault="00F2781B" w:rsidP="0030269A">
      <w:pPr>
        <w:spacing w:before="0" w:after="0"/>
      </w:pPr>
      <w:r>
        <w:separator/>
      </w:r>
    </w:p>
  </w:footnote>
  <w:footnote w:type="continuationSeparator" w:id="0">
    <w:p w14:paraId="10892BBC" w14:textId="77777777" w:rsidR="00F2781B" w:rsidRDefault="00F2781B" w:rsidP="0030269A">
      <w:pPr>
        <w:spacing w:before="0" w:after="0"/>
      </w:pPr>
      <w:r>
        <w:continuationSeparator/>
      </w:r>
    </w:p>
  </w:footnote>
  <w:footnote w:id="1">
    <w:p w14:paraId="46C41BCF" w14:textId="792E7784" w:rsidR="000C1A55" w:rsidRPr="00087753" w:rsidRDefault="000C1A55">
      <w:pPr>
        <w:pStyle w:val="Notedebasdepage"/>
      </w:pPr>
      <w:r w:rsidRPr="00DC4D37">
        <w:rPr>
          <w:rStyle w:val="Appelnotedebasdep"/>
          <w:highlight w:val="yellow"/>
        </w:rPr>
        <w:footnoteRef/>
      </w:r>
      <w:r w:rsidRPr="00DC4D37">
        <w:rPr>
          <w:highlight w:val="yellow"/>
        </w:rPr>
        <w:t xml:space="preserve"> </w:t>
      </w:r>
      <w:r w:rsidRPr="00DC4D37">
        <w:rPr>
          <w:highlight w:val="yellow"/>
        </w:rPr>
        <w:tab/>
        <w:t>Mettre référence à la politique en vigueur dans l’établissement.</w:t>
      </w:r>
    </w:p>
  </w:footnote>
  <w:footnote w:id="2">
    <w:p w14:paraId="360A5109" w14:textId="77777777" w:rsidR="003F7DA7" w:rsidRPr="00087753" w:rsidRDefault="003F7DA7" w:rsidP="003F7DA7">
      <w:pPr>
        <w:pStyle w:val="Notedebasdepage"/>
      </w:pPr>
      <w:r w:rsidRPr="00087753">
        <w:rPr>
          <w:rStyle w:val="Appelnotedebasdep"/>
        </w:rPr>
        <w:footnoteRef/>
      </w:r>
      <w:r w:rsidRPr="00087753">
        <w:t xml:space="preserve"> </w:t>
      </w:r>
      <w:r w:rsidRPr="00087753">
        <w:tab/>
      </w:r>
      <w:r w:rsidRPr="00087753">
        <w:rPr>
          <w:i/>
          <w:iCs/>
        </w:rPr>
        <w:t>Cadre de référence ministériel pour la recherche avec des participants humains</w:t>
      </w:r>
      <w:r w:rsidRPr="00087753">
        <w:t>, Gouvernement du Québec, Ministère de la Santé et des Services sociaux, octobre 2020, art. 2.1, ci-après « </w:t>
      </w:r>
      <w:r w:rsidRPr="00087753">
        <w:rPr>
          <w:i/>
          <w:iCs/>
        </w:rPr>
        <w:t>Cadre</w:t>
      </w:r>
      <w:r w:rsidRPr="00087753">
        <w:t> ».</w:t>
      </w:r>
    </w:p>
  </w:footnote>
  <w:footnote w:id="3">
    <w:p w14:paraId="44D3A1D5" w14:textId="77777777" w:rsidR="003F7DA7" w:rsidRPr="009608D9" w:rsidRDefault="003F7DA7" w:rsidP="003F7DA7">
      <w:pPr>
        <w:pStyle w:val="Notedebasdepage"/>
        <w:rPr>
          <w:highlight w:val="yellow"/>
        </w:rPr>
      </w:pPr>
      <w:r w:rsidRPr="00087753">
        <w:rPr>
          <w:rStyle w:val="Appelnotedebasdep"/>
        </w:rPr>
        <w:footnoteRef/>
      </w:r>
      <w:r w:rsidRPr="00087753">
        <w:t xml:space="preserve"> </w:t>
      </w:r>
      <w:r w:rsidRPr="00087753">
        <w:tab/>
        <w:t>« </w:t>
      </w:r>
      <w:r w:rsidRPr="00087753">
        <w:rPr>
          <w:i/>
          <w:iCs/>
        </w:rPr>
        <w:t>Cadre</w:t>
      </w:r>
      <w:r w:rsidRPr="00087753">
        <w:t> », art. 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CAB5" w14:textId="77777777" w:rsidR="000C1A55" w:rsidRPr="00ED30D3" w:rsidRDefault="000C1A55" w:rsidP="000C1A55">
    <w:pPr>
      <w:pStyle w:val="En-tte"/>
    </w:pPr>
  </w:p>
  <w:tbl>
    <w:tblPr>
      <w:tblW w:w="0" w:type="auto"/>
      <w:tblLook w:val="04A0" w:firstRow="1" w:lastRow="0" w:firstColumn="1" w:lastColumn="0" w:noHBand="0" w:noVBand="1"/>
    </w:tblPr>
    <w:tblGrid>
      <w:gridCol w:w="4957"/>
      <w:gridCol w:w="5113"/>
    </w:tblGrid>
    <w:tr w:rsidR="000C1A55" w:rsidRPr="00ED30D3" w14:paraId="042D4C5B" w14:textId="77777777" w:rsidTr="00B472A1">
      <w:trPr>
        <w:trHeight w:val="567"/>
      </w:trPr>
      <w:tc>
        <w:tcPr>
          <w:tcW w:w="4957" w:type="dxa"/>
          <w:vMerge w:val="restart"/>
          <w:tcBorders>
            <w:right w:val="single" w:sz="4" w:space="0" w:color="auto"/>
          </w:tcBorders>
          <w:shd w:val="clear" w:color="auto" w:fill="auto"/>
          <w:vAlign w:val="center"/>
        </w:tcPr>
        <w:p w14:paraId="32CC4E7B" w14:textId="77777777" w:rsidR="000C1A55" w:rsidRPr="00ED30D3" w:rsidRDefault="000C1A55" w:rsidP="000C1A55">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62EB9E85" w14:textId="77777777" w:rsidR="000C1A55" w:rsidRPr="00ED30D3" w:rsidRDefault="000C1A55" w:rsidP="000C1A55">
          <w:pPr>
            <w:spacing w:before="0" w:after="0"/>
            <w:jc w:val="right"/>
            <w:rPr>
              <w:sz w:val="32"/>
              <w:szCs w:val="32"/>
            </w:rPr>
          </w:pPr>
          <w:r w:rsidRPr="00ED30D3">
            <w:rPr>
              <w:sz w:val="32"/>
              <w:szCs w:val="32"/>
            </w:rPr>
            <w:t>MON-</w:t>
          </w:r>
          <w:r>
            <w:rPr>
              <w:sz w:val="32"/>
              <w:szCs w:val="32"/>
            </w:rPr>
            <w:t>CER</w:t>
          </w:r>
          <w:r w:rsidRPr="00ED30D3">
            <w:rPr>
              <w:sz w:val="32"/>
              <w:szCs w:val="32"/>
            </w:rPr>
            <w:t xml:space="preserve"> </w:t>
          </w:r>
          <w:r w:rsidRPr="00053445">
            <w:rPr>
              <w:sz w:val="32"/>
              <w:szCs w:val="32"/>
            </w:rPr>
            <w:t>105C</w:t>
          </w:r>
          <w:r>
            <w:rPr>
              <w:sz w:val="32"/>
              <w:szCs w:val="32"/>
            </w:rPr>
            <w:t>-</w:t>
          </w:r>
          <w:r w:rsidRPr="00053445">
            <w:rPr>
              <w:sz w:val="32"/>
              <w:szCs w:val="32"/>
            </w:rPr>
            <w:t>00</w:t>
          </w:r>
          <w:r>
            <w:rPr>
              <w:sz w:val="32"/>
              <w:szCs w:val="32"/>
            </w:rPr>
            <w:t>2</w:t>
          </w:r>
        </w:p>
      </w:tc>
    </w:tr>
    <w:tr w:rsidR="000C1A55" w:rsidRPr="00ED30D3" w14:paraId="3EFC1F0F" w14:textId="77777777" w:rsidTr="00B472A1">
      <w:trPr>
        <w:trHeight w:val="567"/>
      </w:trPr>
      <w:tc>
        <w:tcPr>
          <w:tcW w:w="4957" w:type="dxa"/>
          <w:vMerge/>
          <w:tcBorders>
            <w:right w:val="single" w:sz="4" w:space="0" w:color="auto"/>
          </w:tcBorders>
          <w:shd w:val="clear" w:color="auto" w:fill="auto"/>
        </w:tcPr>
        <w:p w14:paraId="58D6F215" w14:textId="77777777" w:rsidR="000C1A55" w:rsidRPr="00ED30D3" w:rsidRDefault="000C1A55" w:rsidP="000C1A55">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49120438" w14:textId="77777777" w:rsidR="000C1A55" w:rsidRPr="00ED30D3" w:rsidRDefault="000C1A55" w:rsidP="000C1A55">
          <w:pPr>
            <w:spacing w:before="0" w:after="0"/>
            <w:jc w:val="right"/>
          </w:pPr>
          <w:r w:rsidRPr="00ED30D3">
            <w:t>Comité d’éthique de la recherche</w:t>
          </w:r>
        </w:p>
        <w:p w14:paraId="5338A418" w14:textId="77777777" w:rsidR="000C1A55" w:rsidRPr="00ED30D3" w:rsidRDefault="000C1A55" w:rsidP="000C1A55">
          <w:pPr>
            <w:spacing w:before="0" w:after="0"/>
            <w:jc w:val="right"/>
          </w:pPr>
          <w:r w:rsidRPr="00ED30D3">
            <w:t>Mode opératoire normalisé</w:t>
          </w:r>
        </w:p>
      </w:tc>
    </w:tr>
  </w:tbl>
  <w:p w14:paraId="69406354" w14:textId="77777777" w:rsidR="000C1A55" w:rsidRPr="00ED30D3" w:rsidRDefault="000C1A55" w:rsidP="000C1A55">
    <w:pPr>
      <w:pStyle w:val="En-tte"/>
    </w:pPr>
  </w:p>
  <w:p w14:paraId="662F8865" w14:textId="77777777" w:rsidR="000C1A55" w:rsidRPr="00ED30D3" w:rsidRDefault="000C1A55" w:rsidP="000C1A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3D4BD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9A1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030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2066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EA26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E63287D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3715A1"/>
    <w:multiLevelType w:val="multilevel"/>
    <w:tmpl w:val="040C001D"/>
    <w:numStyleLink w:val="SOPListeHyrarchise"/>
  </w:abstractNum>
  <w:abstractNum w:abstractNumId="24"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676610786">
    <w:abstractNumId w:val="15"/>
  </w:num>
  <w:num w:numId="2" w16cid:durableId="152139760">
    <w:abstractNumId w:val="22"/>
  </w:num>
  <w:num w:numId="3" w16cid:durableId="551305201">
    <w:abstractNumId w:val="25"/>
  </w:num>
  <w:num w:numId="4" w16cid:durableId="929854625">
    <w:abstractNumId w:val="4"/>
  </w:num>
  <w:num w:numId="5" w16cid:durableId="842858636">
    <w:abstractNumId w:val="5"/>
  </w:num>
  <w:num w:numId="6" w16cid:durableId="381634310">
    <w:abstractNumId w:val="6"/>
  </w:num>
  <w:num w:numId="7" w16cid:durableId="1387946846">
    <w:abstractNumId w:val="7"/>
  </w:num>
  <w:num w:numId="8" w16cid:durableId="296886311">
    <w:abstractNumId w:val="9"/>
  </w:num>
  <w:num w:numId="9" w16cid:durableId="1850752516">
    <w:abstractNumId w:val="0"/>
  </w:num>
  <w:num w:numId="10" w16cid:durableId="646283244">
    <w:abstractNumId w:val="1"/>
  </w:num>
  <w:num w:numId="11" w16cid:durableId="967012942">
    <w:abstractNumId w:val="2"/>
  </w:num>
  <w:num w:numId="12" w16cid:durableId="101338695">
    <w:abstractNumId w:val="3"/>
  </w:num>
  <w:num w:numId="13" w16cid:durableId="86272393">
    <w:abstractNumId w:val="8"/>
  </w:num>
  <w:num w:numId="14" w16cid:durableId="989216658">
    <w:abstractNumId w:val="21"/>
  </w:num>
  <w:num w:numId="15" w16cid:durableId="1525439891">
    <w:abstractNumId w:val="20"/>
  </w:num>
  <w:num w:numId="16" w16cid:durableId="244462587">
    <w:abstractNumId w:val="11"/>
  </w:num>
  <w:num w:numId="17" w16cid:durableId="362174844">
    <w:abstractNumId w:val="10"/>
  </w:num>
  <w:num w:numId="18" w16cid:durableId="1825009008">
    <w:abstractNumId w:val="24"/>
  </w:num>
  <w:num w:numId="19" w16cid:durableId="273942786">
    <w:abstractNumId w:val="16"/>
  </w:num>
  <w:num w:numId="20" w16cid:durableId="1113861910">
    <w:abstractNumId w:val="13"/>
  </w:num>
  <w:num w:numId="21" w16cid:durableId="501555716">
    <w:abstractNumId w:val="12"/>
  </w:num>
  <w:num w:numId="22" w16cid:durableId="1531994973">
    <w:abstractNumId w:val="23"/>
  </w:num>
  <w:num w:numId="23" w16cid:durableId="1111785079">
    <w:abstractNumId w:val="17"/>
  </w:num>
  <w:num w:numId="24" w16cid:durableId="1027632760">
    <w:abstractNumId w:val="14"/>
  </w:num>
  <w:num w:numId="25" w16cid:durableId="1604604038">
    <w:abstractNumId w:val="19"/>
  </w:num>
  <w:num w:numId="26" w16cid:durableId="1501196612">
    <w:abstractNumId w:val="18"/>
  </w:num>
  <w:num w:numId="27" w16cid:durableId="967970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2610A"/>
    <w:rsid w:val="00030F93"/>
    <w:rsid w:val="00047C05"/>
    <w:rsid w:val="00077F3F"/>
    <w:rsid w:val="0008183D"/>
    <w:rsid w:val="00087753"/>
    <w:rsid w:val="000C1A55"/>
    <w:rsid w:val="000C54EE"/>
    <w:rsid w:val="00133159"/>
    <w:rsid w:val="001D0AC8"/>
    <w:rsid w:val="002061FE"/>
    <w:rsid w:val="00283978"/>
    <w:rsid w:val="002B5BA5"/>
    <w:rsid w:val="002B5EA6"/>
    <w:rsid w:val="002E18ED"/>
    <w:rsid w:val="002E750D"/>
    <w:rsid w:val="0030269A"/>
    <w:rsid w:val="0032222C"/>
    <w:rsid w:val="00347179"/>
    <w:rsid w:val="00364406"/>
    <w:rsid w:val="00381E3D"/>
    <w:rsid w:val="00386E19"/>
    <w:rsid w:val="00386EA4"/>
    <w:rsid w:val="003A5443"/>
    <w:rsid w:val="003F7DA7"/>
    <w:rsid w:val="00407B78"/>
    <w:rsid w:val="00426EC8"/>
    <w:rsid w:val="00432EFE"/>
    <w:rsid w:val="004374F7"/>
    <w:rsid w:val="00444D39"/>
    <w:rsid w:val="00446681"/>
    <w:rsid w:val="00474636"/>
    <w:rsid w:val="0047642D"/>
    <w:rsid w:val="00484BEA"/>
    <w:rsid w:val="005646DF"/>
    <w:rsid w:val="0059613B"/>
    <w:rsid w:val="005A23CC"/>
    <w:rsid w:val="005A3D29"/>
    <w:rsid w:val="00602FB6"/>
    <w:rsid w:val="006273EC"/>
    <w:rsid w:val="00632722"/>
    <w:rsid w:val="00634960"/>
    <w:rsid w:val="006548B4"/>
    <w:rsid w:val="006679F4"/>
    <w:rsid w:val="006A4376"/>
    <w:rsid w:val="006C53DF"/>
    <w:rsid w:val="007041A6"/>
    <w:rsid w:val="00753239"/>
    <w:rsid w:val="00756C58"/>
    <w:rsid w:val="007D2AD3"/>
    <w:rsid w:val="00844B24"/>
    <w:rsid w:val="00845BAF"/>
    <w:rsid w:val="008961BD"/>
    <w:rsid w:val="008A587F"/>
    <w:rsid w:val="008B2882"/>
    <w:rsid w:val="008E5297"/>
    <w:rsid w:val="009608D9"/>
    <w:rsid w:val="009754E0"/>
    <w:rsid w:val="00986A54"/>
    <w:rsid w:val="009C5B8D"/>
    <w:rsid w:val="009D3040"/>
    <w:rsid w:val="009F0CD2"/>
    <w:rsid w:val="00A147B4"/>
    <w:rsid w:val="00A26CA7"/>
    <w:rsid w:val="00A30069"/>
    <w:rsid w:val="00A92DA3"/>
    <w:rsid w:val="00A967C9"/>
    <w:rsid w:val="00AB7AAB"/>
    <w:rsid w:val="00AD47B2"/>
    <w:rsid w:val="00AE5BC2"/>
    <w:rsid w:val="00B3170C"/>
    <w:rsid w:val="00B4301B"/>
    <w:rsid w:val="00B66BD6"/>
    <w:rsid w:val="00B760AA"/>
    <w:rsid w:val="00BB1429"/>
    <w:rsid w:val="00BC3100"/>
    <w:rsid w:val="00C01262"/>
    <w:rsid w:val="00C2027E"/>
    <w:rsid w:val="00C348F8"/>
    <w:rsid w:val="00C42D6F"/>
    <w:rsid w:val="00C6379C"/>
    <w:rsid w:val="00CE63B7"/>
    <w:rsid w:val="00D23D69"/>
    <w:rsid w:val="00D36975"/>
    <w:rsid w:val="00D55FCB"/>
    <w:rsid w:val="00D70FB5"/>
    <w:rsid w:val="00DC2BA3"/>
    <w:rsid w:val="00DC4D37"/>
    <w:rsid w:val="00E123B9"/>
    <w:rsid w:val="00E42979"/>
    <w:rsid w:val="00E53428"/>
    <w:rsid w:val="00E53EDF"/>
    <w:rsid w:val="00E667AB"/>
    <w:rsid w:val="00EA47F6"/>
    <w:rsid w:val="00EA6145"/>
    <w:rsid w:val="00EC101E"/>
    <w:rsid w:val="00ED30D3"/>
    <w:rsid w:val="00EF5960"/>
    <w:rsid w:val="00F2781B"/>
    <w:rsid w:val="00F374D7"/>
    <w:rsid w:val="00F443B2"/>
    <w:rsid w:val="00FC636C"/>
    <w:rsid w:val="169B6ABF"/>
    <w:rsid w:val="1D13C35E"/>
    <w:rsid w:val="36E49457"/>
    <w:rsid w:val="39F61A55"/>
    <w:rsid w:val="72DFED3B"/>
    <w:rsid w:val="788E13A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00"/>
    <w:pPr>
      <w:spacing w:before="240" w:after="240"/>
      <w:jc w:val="both"/>
    </w:pPr>
    <w:rPr>
      <w:sz w:val="22"/>
      <w:szCs w:val="22"/>
      <w:lang w:val="fr-CA"/>
    </w:rPr>
  </w:style>
  <w:style w:type="paragraph" w:styleId="Titre1">
    <w:name w:val="heading 1"/>
    <w:basedOn w:val="Normal"/>
    <w:next w:val="Normal"/>
    <w:link w:val="Titre1Car"/>
    <w:uiPriority w:val="9"/>
    <w:qFormat/>
    <w:rsid w:val="00364406"/>
    <w:pPr>
      <w:keepNext/>
      <w:widowControl w:val="0"/>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364406"/>
    <w:pPr>
      <w:keepNext/>
      <w:widowControl w:val="0"/>
      <w:numPr>
        <w:ilvl w:val="1"/>
        <w:numId w:val="1"/>
      </w:numPr>
      <w:tabs>
        <w:tab w:val="left" w:pos="1123"/>
      </w:tabs>
      <w:ind w:left="1123" w:hanging="1123"/>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446681"/>
    <w:pPr>
      <w:widowControl w:val="0"/>
      <w:numPr>
        <w:ilvl w:val="2"/>
        <w:numId w:val="1"/>
      </w:numPr>
      <w:tabs>
        <w:tab w:val="left" w:pos="1123"/>
      </w:tabs>
      <w:ind w:left="1123" w:hanging="1123"/>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406"/>
    <w:rPr>
      <w:rFonts w:eastAsiaTheme="majorEastAsia" w:cs="Calibri (Corps)"/>
      <w:b/>
      <w:caps/>
      <w:sz w:val="22"/>
      <w:szCs w:val="22"/>
      <w:lang w:val="fr-CA"/>
    </w:rPr>
  </w:style>
  <w:style w:type="character" w:customStyle="1" w:styleId="Titre2Car">
    <w:name w:val="Titre 2 Car"/>
    <w:basedOn w:val="Policepardfaut"/>
    <w:link w:val="Titre2"/>
    <w:uiPriority w:val="9"/>
    <w:rsid w:val="00364406"/>
    <w:rPr>
      <w:rFonts w:eastAsiaTheme="majorEastAsia" w:cstheme="minorHAnsi"/>
      <w:b/>
      <w:sz w:val="22"/>
      <w:szCs w:val="22"/>
      <w:lang w:val="en-CA"/>
    </w:rPr>
  </w:style>
  <w:style w:type="character" w:customStyle="1" w:styleId="Titre3Car">
    <w:name w:val="Titre 3 Car"/>
    <w:basedOn w:val="Policepardfaut"/>
    <w:link w:val="Titre3"/>
    <w:uiPriority w:val="9"/>
    <w:rsid w:val="00446681"/>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845BAF"/>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446681"/>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BC3100"/>
    <w:pPr>
      <w:jc w:val="left"/>
    </w:pPr>
    <w:rPr>
      <w:noProof/>
      <w:sz w:val="20"/>
      <w:szCs w:val="20"/>
    </w:rPr>
  </w:style>
  <w:style w:type="character" w:customStyle="1" w:styleId="CommentaireCar">
    <w:name w:val="Commentaire Car"/>
    <w:basedOn w:val="Policepardfaut"/>
    <w:link w:val="Commentaire"/>
    <w:uiPriority w:val="99"/>
    <w:rsid w:val="00BC3100"/>
    <w:rPr>
      <w:noProof/>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noProof/>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446681"/>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446681"/>
    <w:pPr>
      <w:numPr>
        <w:numId w:val="14"/>
      </w:numPr>
      <w:spacing w:before="60" w:after="60"/>
      <w:ind w:left="1124" w:hanging="562"/>
    </w:pPr>
    <w:rPr>
      <w:szCs w:val="24"/>
    </w:rPr>
  </w:style>
  <w:style w:type="paragraph" w:customStyle="1" w:styleId="SOPBulletC">
    <w:name w:val="SOP Bullet C"/>
    <w:basedOn w:val="Normal"/>
    <w:qFormat/>
    <w:rsid w:val="00446681"/>
    <w:pPr>
      <w:numPr>
        <w:numId w:val="15"/>
      </w:numPr>
      <w:spacing w:before="60" w:after="60"/>
      <w:ind w:left="1685" w:hanging="562"/>
    </w:pPr>
    <w:rPr>
      <w:szCs w:val="24"/>
    </w:rPr>
  </w:style>
  <w:style w:type="paragraph" w:customStyle="1" w:styleId="SOPBulletD">
    <w:name w:val="SOP Bullet D"/>
    <w:basedOn w:val="Normal"/>
    <w:qFormat/>
    <w:rsid w:val="00446681"/>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446681"/>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D23D69"/>
    <w:rPr>
      <w:sz w:val="22"/>
      <w:szCs w:val="22"/>
      <w:lang w:val="fr-CA"/>
    </w:rPr>
  </w:style>
  <w:style w:type="character" w:customStyle="1" w:styleId="ui-provider">
    <w:name w:val="ui-provider"/>
    <w:basedOn w:val="Policepardfaut"/>
    <w:rsid w:val="0043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1197">
      <w:bodyDiv w:val="1"/>
      <w:marLeft w:val="0"/>
      <w:marRight w:val="0"/>
      <w:marTop w:val="0"/>
      <w:marBottom w:val="0"/>
      <w:divBdr>
        <w:top w:val="none" w:sz="0" w:space="0" w:color="auto"/>
        <w:left w:val="none" w:sz="0" w:space="0" w:color="auto"/>
        <w:bottom w:val="none" w:sz="0" w:space="0" w:color="auto"/>
        <w:right w:val="none" w:sz="0" w:space="0" w:color="auto"/>
      </w:divBdr>
    </w:div>
    <w:div w:id="389305167">
      <w:bodyDiv w:val="1"/>
      <w:marLeft w:val="0"/>
      <w:marRight w:val="0"/>
      <w:marTop w:val="0"/>
      <w:marBottom w:val="0"/>
      <w:divBdr>
        <w:top w:val="none" w:sz="0" w:space="0" w:color="auto"/>
        <w:left w:val="none" w:sz="0" w:space="0" w:color="auto"/>
        <w:bottom w:val="none" w:sz="0" w:space="0" w:color="auto"/>
        <w:right w:val="none" w:sz="0" w:space="0" w:color="auto"/>
      </w:divBdr>
    </w:div>
    <w:div w:id="914242258">
      <w:bodyDiv w:val="1"/>
      <w:marLeft w:val="0"/>
      <w:marRight w:val="0"/>
      <w:marTop w:val="0"/>
      <w:marBottom w:val="0"/>
      <w:divBdr>
        <w:top w:val="none" w:sz="0" w:space="0" w:color="auto"/>
        <w:left w:val="none" w:sz="0" w:space="0" w:color="auto"/>
        <w:bottom w:val="none" w:sz="0" w:space="0" w:color="auto"/>
        <w:right w:val="none" w:sz="0" w:space="0" w:color="auto"/>
      </w:divBdr>
    </w:div>
    <w:div w:id="1256668765">
      <w:bodyDiv w:val="1"/>
      <w:marLeft w:val="0"/>
      <w:marRight w:val="0"/>
      <w:marTop w:val="0"/>
      <w:marBottom w:val="0"/>
      <w:divBdr>
        <w:top w:val="none" w:sz="0" w:space="0" w:color="auto"/>
        <w:left w:val="none" w:sz="0" w:space="0" w:color="auto"/>
        <w:bottom w:val="none" w:sz="0" w:space="0" w:color="auto"/>
        <w:right w:val="none" w:sz="0" w:space="0" w:color="auto"/>
      </w:divBdr>
    </w:div>
    <w:div w:id="192506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6F9590-B807-484F-8975-D52438E51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68F0D-E27D-4A39-A367-8E99112CB60E}">
  <ds:schemaRefs>
    <ds:schemaRef ds:uri="http://schemas.microsoft.com/sharepoint/v3/contenttype/forms"/>
  </ds:schemaRefs>
</ds:datastoreItem>
</file>

<file path=customXml/itemProps3.xml><?xml version="1.0" encoding="utf-8"?>
<ds:datastoreItem xmlns:ds="http://schemas.openxmlformats.org/officeDocument/2006/customXml" ds:itemID="{6082BB9B-20A4-4AF6-8E4E-3B8C2BBF1B85}">
  <ds:schemaRefs>
    <ds:schemaRef ds:uri="http://schemas.openxmlformats.org/officeDocument/2006/bibliography"/>
  </ds:schemaRefs>
</ds:datastoreItem>
</file>

<file path=customXml/itemProps4.xml><?xml version="1.0" encoding="utf-8"?>
<ds:datastoreItem xmlns:ds="http://schemas.openxmlformats.org/officeDocument/2006/customXml" ds:itemID="{C5C16087-85AB-4BD8-A8E5-67AA4A0F3CA0}">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508</Words>
  <Characters>2794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Auteur</cp:lastModifiedBy>
  <cp:revision>12</cp:revision>
  <dcterms:created xsi:type="dcterms:W3CDTF">2023-03-15T13:42:00Z</dcterms:created>
  <dcterms:modified xsi:type="dcterms:W3CDTF">2023-11-17T21:30:00Z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2022-09-07T19:05:50Z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20e596e3-99af-4540-8f07-c999e19768b3</vt:lpwstr>
  </property>
  <property fmtid="{D5CDD505-2E9C-101B-9397-08002B2CF9AE}" pid="9" name="MSIP_Label_6a7d8d5d-78e2-4a62-9fcd-016eb5e4c57c_ContentBits">
    <vt:lpwstr>0</vt:lpwstr>
  </property>
  <property fmtid="{D5CDD505-2E9C-101B-9397-08002B2CF9AE}" pid="10" name="MediaServiceImageTags">
    <vt:lpwstr/>
  </property>
</Properties>
</file>